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t xml:space="preserve">Cedar &amp; Vine — Business Plan</w:t>
      </w:r>
    </w:p>
    <w:p>
      <w:pPr>
        <w:spacing w:after="130"/>
      </w:pPr>
      <w:r>
        <w:rPr>
          <w:i/>
          <w:iCs/>
          <w:color w:val="5A5A5A"/>
        </w:rPr>
        <w:t xml:space="preserve">Prepared for: Bank underwriter under SBA SOP. Format: SBA 7(a) / microloan.</w:t>
      </w:r>
    </w:p>
    <w:p>
      <w:pPr>
        <w:spacing w:after="90"/>
      </w:pPr>
      <w:r>
        <w:t xml:space="preserve"/>
      </w:r>
    </w:p>
    <w:p>
      <w:pPr>
        <w:pStyle w:val="Heading1"/>
        <w:spacing w:after="140" w:before="320"/>
      </w:pPr>
      <w:r>
        <w:t xml:space="preserve">Headline Numbers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Metric</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r>
      <w:tr>
        <w:tc>
          <w:tcPr>
            <w:tcW w:type="dxa" w:w="4680"/>
            <w:tcMar>
              <w:top w:type="dxa" w:w="50"/>
              <w:left w:type="dxa" w:w="80"/>
              <w:bottom w:type="dxa" w:w="50"/>
              <w:right w:type="dxa" w:w="80"/>
            </w:tcMar>
          </w:tcPr>
          <w:p>
            <w:pPr>
              <w:spacing w:after="0"/>
              <w:jc w:val="left"/>
            </w:pPr>
            <w:r>
              <w:rPr>
                <w:sz w:val="17"/>
                <w:szCs w:val="17"/>
              </w:rPr>
              <w:t xml:space="preserve">Total startup requirement</w:t>
            </w:r>
          </w:p>
        </w:tc>
        <w:tc>
          <w:tcPr>
            <w:tcW w:type="dxa" w:w="4680"/>
            <w:tcMar>
              <w:top w:type="dxa" w:w="50"/>
              <w:left w:type="dxa" w:w="80"/>
              <w:bottom w:type="dxa" w:w="50"/>
              <w:right w:type="dxa" w:w="80"/>
            </w:tcMar>
          </w:tcPr>
          <w:p>
            <w:pPr>
              <w:spacing w:after="0"/>
              <w:jc w:val="right"/>
            </w:pPr>
            <w:r>
              <w:rPr>
                <w:sz w:val="17"/>
                <w:szCs w:val="17"/>
              </w:rPr>
              <w:t xml:space="preserve">$350,200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Owner injection</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$96,000 (27.4% of project cost)</w:t>
            </w:r>
          </w:p>
        </w:tc>
      </w:tr>
      <w:tr>
        <w:tc>
          <w:tcPr>
            <w:tcW w:type="dxa" w:w="4680"/>
            <w:tcMar>
              <w:top w:type="dxa" w:w="50"/>
              <w:left w:type="dxa" w:w="80"/>
              <w:bottom w:type="dxa" w:w="50"/>
              <w:right w:type="dxa" w:w="80"/>
            </w:tcMar>
          </w:tcPr>
          <w:p>
            <w:pPr>
              <w:spacing w:after="0"/>
              <w:jc w:val="left"/>
            </w:pPr>
            <w:r>
              <w:rPr>
                <w:sz w:val="17"/>
                <w:szCs w:val="17"/>
              </w:rPr>
              <w:t xml:space="preserve">Loan requested</w:t>
            </w:r>
          </w:p>
        </w:tc>
        <w:tc>
          <w:tcPr>
            <w:tcW w:type="dxa" w:w="4680"/>
            <w:tcMar>
              <w:top w:type="dxa" w:w="50"/>
              <w:left w:type="dxa" w:w="80"/>
              <w:bottom w:type="dxa" w:w="50"/>
              <w:right w:type="dxa" w:w="80"/>
            </w:tcMar>
          </w:tcPr>
          <w:p>
            <w:pPr>
              <w:spacing w:after="0"/>
              <w:jc w:val="right"/>
            </w:pPr>
            <w:r>
              <w:rPr>
                <w:sz w:val="17"/>
                <w:szCs w:val="17"/>
              </w:rPr>
              <w:t xml:space="preserve">$265,000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Monthly debt service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$3,613</w:t>
            </w:r>
          </w:p>
        </w:tc>
      </w:tr>
      <w:tr>
        <w:tc>
          <w:tcPr>
            <w:tcW w:type="dxa" w:w="4680"/>
            <w:tcMar>
              <w:top w:type="dxa" w:w="50"/>
              <w:left w:type="dxa" w:w="80"/>
              <w:bottom w:type="dxa" w:w="50"/>
              <w:right w:type="dxa" w:w="80"/>
            </w:tcMar>
          </w:tcPr>
          <w:p>
            <w:pPr>
              <w:spacing w:after="0"/>
              <w:jc w:val="left"/>
            </w:pPr>
            <w:r>
              <w:rPr>
                <w:sz w:val="17"/>
                <w:szCs w:val="17"/>
              </w:rPr>
              <w:t xml:space="preserve">Year-1 revenue</w:t>
            </w:r>
          </w:p>
        </w:tc>
        <w:tc>
          <w:tcPr>
            <w:tcW w:type="dxa" w:w="4680"/>
            <w:tcMar>
              <w:top w:type="dxa" w:w="50"/>
              <w:left w:type="dxa" w:w="80"/>
              <w:bottom w:type="dxa" w:w="50"/>
              <w:right w:type="dxa" w:w="80"/>
            </w:tcMar>
          </w:tcPr>
          <w:p>
            <w:pPr>
              <w:spacing w:after="0"/>
              <w:jc w:val="right"/>
            </w:pPr>
            <w:r>
              <w:rPr>
                <w:sz w:val="17"/>
                <w:szCs w:val="17"/>
              </w:rPr>
              <w:t xml:space="preserve">$870,610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Break-even volume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1,896 units/month</w:t>
            </w:r>
          </w:p>
        </w:tc>
      </w:tr>
      <w:tr>
        <w:tc>
          <w:tcPr>
            <w:tcW w:type="dxa" w:w="4680"/>
            <w:tcMar>
              <w:top w:type="dxa" w:w="50"/>
              <w:left w:type="dxa" w:w="80"/>
              <w:bottom w:type="dxa" w:w="50"/>
              <w:right w:type="dxa" w:w="80"/>
            </w:tcMar>
          </w:tcPr>
          <w:p>
            <w:pPr>
              <w:spacing w:after="0"/>
              <w:jc w:val="left"/>
            </w:pPr>
            <w:r>
              <w:rPr>
                <w:sz w:val="17"/>
                <w:szCs w:val="17"/>
              </w:rPr>
              <w:t xml:space="preserve">Cash low point</w:t>
            </w:r>
          </w:p>
        </w:tc>
        <w:tc>
          <w:tcPr>
            <w:tcW w:type="dxa" w:w="4680"/>
            <w:tcMar>
              <w:top w:type="dxa" w:w="50"/>
              <w:left w:type="dxa" w:w="80"/>
              <w:bottom w:type="dxa" w:w="50"/>
              <w:right w:type="dxa" w:w="80"/>
            </w:tcMar>
          </w:tcPr>
          <w:p>
            <w:pPr>
              <w:spacing w:after="0"/>
              <w:jc w:val="right"/>
            </w:pPr>
            <w:r>
              <w:rPr>
                <w:sz w:val="17"/>
                <w:szCs w:val="17"/>
              </w:rPr>
              <w:t xml:space="preserve">$9,980 in month 4</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Year-1 DSCR</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1.47 (floor 1.25)</w:t>
            </w:r>
          </w:p>
        </w:tc>
      </w:tr>
    </w:tbl>
    <w:p>
      <w:pPr>
        <w:spacing w:after="140"/>
      </w:pPr>
      <w:r>
        <w:t xml:space="preserve"/>
      </w:r>
    </w:p>
    <w:p>
      <w:pPr>
        <w:spacing w:after="90"/>
      </w:pPr>
      <w:r>
        <w:t xml:space="preserve"/>
      </w:r>
    </w:p>
    <w:p>
      <w:pPr>
        <w:pStyle w:val="Heading1"/>
        <w:spacing w:after="140" w:before="320"/>
      </w:pPr>
      <w:r>
        <w:t xml:space="preserve">Executive Summary</w:t>
      </w:r>
    </w:p>
    <w:p>
      <w:pPr>
        <w:spacing w:after="130"/>
      </w:pPr>
      <w:r>
        <w:t xml:space="preserve">Cedar &amp; Vine Kitchen LLC is a North Carolina limited liability company formed on 19 January 2026 to operate a single 46-seat bistro in West Asheville. The unit will trade 26 days per month, offering dinner six nights and brunch on weekends at an average transaction value of $37. Ownership is held 100 percent by two individuals: Renata Alvarez at 60 percent and Tobias Lindqvist at 40 percent. Both owners have twelve years of restaurant experience, including prior responsibility for food and labor cost control.</w:t>
      </w:r>
    </w:p>
    <w:p>
      <w:pPr>
        <w:spacing w:after="90"/>
      </w:pPr>
      <w:r>
        <w:t xml:space="preserve"/>
      </w:r>
    </w:p>
    <w:p>
      <w:pPr>
        <w:spacing w:after="130"/>
      </w:pPr>
      <w:r>
        <w:t xml:space="preserve">Projected year-one revenue is $870,610. At steady state the business is expected to generate $96,200 in monthly revenue. Cost of goods sold is modeled at 30 percent of revenue. Fixed monthly operating expenses total $45,470, producing a unit contribution margin of $25.90 after variable costs. Monthly debt service on the requested loan is $3,612.98, resulting in projected debt-service coverage ratios of 1.47 in year one, 1.63 in year two, and 1.73 in year three.</w:t>
      </w:r>
    </w:p>
    <w:p>
      <w:pPr>
        <w:spacing w:after="90"/>
      </w:pPr>
      <w:r>
        <w:t xml:space="preserve"/>
      </w:r>
    </w:p>
    <w:p>
      <w:pPr>
        <w:spacing w:after="130"/>
      </w:pPr>
      <w:r>
        <w:t xml:space="preserve">Total startup requirement is $350,200. The owners will inject funds representing 27.41 percent of that amount, with the balance sought through a $265,000 loan. Break-even occurs at 1,896 covers or $70,152 in monthly revenue, projected for month five. The cash low point is modeled at $9,979.98 in month four. The lease includes a personal guarantee, and the operator holds a valid ServSafe certification.</w:t>
      </w:r>
    </w:p>
    <w:p>
      <w:pPr>
        <w:spacing w:after="90"/>
      </w:pPr>
      <w:r>
        <w:t xml:space="preserve"/>
      </w:r>
    </w:p>
    <w:p>
      <w:pPr>
        <w:pStyle w:val="Heading1"/>
        <w:spacing w:after="140" w:before="320"/>
      </w:pPr>
      <w:r>
        <w:t xml:space="preserve">Company Description</w:t>
      </w:r>
    </w:p>
    <w:p>
      <w:pPr>
        <w:spacing w:after="130"/>
      </w:pPr>
      <w:r>
        <w:t xml:space="preserve">Cedar &amp; Vine Kitchen LLC is a North Carolina limited liability company formed on 19 January 2026. It will operate a single 46-seat restaurant at a leased premises on Haywood Road in West Asheville under the trading name Cedar &amp; Vine. The business will serve a short, seasonal dinner menu six nights per week and add weekend brunch service, with an average check of $37. Projected steady-state monthly revenue is $96,200 after an eight-month ramp from an opening volume of 1,500 covers per month to 2,600 covers. Capacity is calculated at 46 seats with 1.6 dinner turns six nights and approximately 190 brunch covers on weekends, for a monthly ceiling of 3,450 covers across 26 trading days.</w:t>
      </w:r>
    </w:p>
    <w:p>
      <w:pPr>
        <w:spacing w:after="90"/>
      </w:pPr>
      <w:r>
        <w:t xml:space="preserve"/>
      </w:r>
    </w:p>
    <w:p>
      <w:pPr>
        <w:spacing w:after="130"/>
      </w:pPr>
      <w:r>
        <w:t xml:space="preserve">Ownership is held 60 percent by Renata Alvarez and 40 percent by Tobias Lindqvist. Both owners will work full time. Alvarez has twelve years of kitchen experience, including line and sous roles at Rhubarb in Asheville and four years as executive chef of a 70-seat independent restaurant in Charleston with full food and labour cost responsibility. Lindqvist has six years of front-of-house and bar management experience at a 90-cover restaurant in Raleigh. Neither owner has previously opened a restaurant from an empty shell. A local restaurant consultant has been retained for build-out and the first ninety days, and a CPA has been engaged for monthly closes beginning in month one.</w:t>
      </w:r>
    </w:p>
    <w:p>
      <w:pPr>
        <w:spacing w:after="90"/>
      </w:pPr>
      <w:r>
        <w:t xml:space="preserve"/>
      </w:r>
    </w:p>
    <w:p>
      <w:pPr>
        <w:spacing w:after="130"/>
      </w:pPr>
      <w:r>
        <w:t xml:space="preserve">The premises are subject to an 84-month lease at $6,900 per month with a 3 percent annual escalation and a personal guarantee. The unit is located on a block with documented foot traffic of 11,400 vehicles per day and established evening trade. Prior demand evidence consists of a fourteen-month supper club operated two blocks away that sold out nine consecutive monthly seatings of 40 covers at a $52 fixed price from a 2,100-name list built without paid promotion. Three direct competitors operate within three blocks, with average checks ranging from $17 to $46. The proposed operation plans to accept reservations and extend dinner service past 9 p.m. on weeknights.</w:t>
      </w:r>
    </w:p>
    <w:p>
      <w:pPr>
        <w:spacing w:after="90"/>
      </w:pPr>
      <w:r>
        <w:t xml:space="preserve"/>
      </w:r>
    </w:p>
    <w:p>
      <w:pPr>
        <w:spacing w:after="130"/>
      </w:pPr>
      <w:r>
        <w:t xml:space="preserve">Projected fixed monthly operating expenses total $45,470. Contribution margin per cover is $25.90. Debt service coverage ratios are projected at 1.47 in year one, 1.63 in year two, and 1.73 in year three. Break-even occurs at 1,896 covers per month, or month five of operations.</w:t>
      </w:r>
    </w:p>
    <w:p>
      <w:pPr>
        <w:spacing w:after="90"/>
      </w:pPr>
      <w:r>
        <w:t xml:space="preserve"/>
      </w:r>
    </w:p>
    <w:p>
      <w:pPr>
        <w:pStyle w:val="Heading1"/>
        <w:spacing w:after="140" w:before="320"/>
      </w:pPr>
      <w:r>
        <w:t xml:space="preserve">Products and Services</w:t>
      </w:r>
    </w:p>
    <w:p>
      <w:pPr>
        <w:spacing w:after="130"/>
      </w:pPr>
      <w:r>
        <w:t xml:space="preserve">Cedar &amp; Vine Kitchen LLC will operate a single 46-seat bistro serving a short seasonal dinner menu six nights per week and a weekend brunch service. All revenue is projected from walk-in and reservation trade at an average transaction value of $37 per cover. The revenue mix is modeled as 58 percent dinner food, 30 percent beer wine and cocktails, and 12 percent weekend brunch.</w:t>
      </w:r>
    </w:p>
    <w:p>
      <w:pPr>
        <w:spacing w:after="90"/>
      </w:pPr>
      <w:r>
        <w:t xml:space="preserve"/>
      </w:r>
    </w:p>
    <w:p>
      <w:pPr>
        <w:spacing w:after="130"/>
      </w:pPr>
      <w:r>
        <w:t xml:space="preserve">Monthly capacity is stated at a ceiling of 3450 covers, derived from 46 seats at an average 1.6 dinner turns across six nights plus roughly 190 brunch covers on Saturdays and Sundays, for 26 trading days. Steady-state volume is set at 2600 covers monthly, or 75 percent utilization. The model assumes a summer-peak seasonality pattern in which the lowest months reach 74 percent of peak monthly revenue. Contribution margin per cover is calculated at $25.90 after a 30 percent cost of goods sold.</w:t>
      </w:r>
    </w:p>
    <w:p>
      <w:pPr>
        <w:spacing w:after="90"/>
      </w:pPr>
      <w:r>
        <w:t xml:space="preserve"/>
      </w:r>
    </w:p>
    <w:p>
      <w:pPr>
        <w:spacing w:after="130"/>
      </w:pPr>
      <w:r>
        <w:t xml:space="preserve">The unit will take reservations and extend full dinner service past 9 pm on weeknights, features not offered by the two highest-reviewed rooms within three blocks. Two taquerias on the same block set a lower price point at $17 and are not treated as direct substitutes for a booked dinner occasion. The operator projects year-one revenue of $870610, rising 11 percent in year two from the addition of Monday service in month 15 and a further 6 percent in year three. Fixed monthly operating costs are stated at $45470, producing a break-even revenue requirement of $70152 per month, or 1896 covers, projected to occur in month five.</w:t>
      </w:r>
    </w:p>
    <w:p>
      <w:pPr>
        <w:spacing w:after="90"/>
      </w:pPr>
      <w:r>
        <w:t xml:space="preserve"/>
      </w:r>
    </w:p>
    <w:p>
      <w:pPr>
        <w:pStyle w:val="Heading1"/>
        <w:spacing w:after="140" w:before="320"/>
      </w:pPr>
      <w:r>
        <w:t xml:space="preserve">Market Analysis</w:t>
      </w:r>
    </w:p>
    <w:p>
      <w:pPr>
        <w:spacing w:after="130"/>
      </w:pPr>
      <w:r>
        <w:t xml:space="preserve">Cedar &amp; Vine Kitchen LLC proposes a 46-seat neighbourhood bistro on Haywood Road in West Asheville, North Carolina. The catchment includes approximately 11,800 residents within a ten-minute walk, with median household income above the county average and four blocks of existing evening activity that draws from across the river. NCDOT traffic counts record 11,400 vehicles daily on the street, supported by 38 metered spaces and a 60-space public lot immediately behind the site.</w:t>
      </w:r>
    </w:p>
    <w:p>
      <w:pPr>
        <w:spacing w:after="90"/>
      </w:pPr>
      <w:r>
        <w:t xml:space="preserve"/>
      </w:r>
    </w:p>
    <w:p>
      <w:pPr>
        <w:spacing w:after="130"/>
      </w:pPr>
      <w:r>
        <w:t xml:space="preserve">Demand evidence is limited to operator-conducted supper clubs run for fourteen months in a shared kitchen two blocks away. The most recent nine events sold out at 40 covers each within 48 hours of release at a $52 fixed price, drawn from a 2,100-name mailing list built without paid promotion. No independent third-party market study or broader demographic projection has been supplied.</w:t>
      </w:r>
    </w:p>
    <w:p>
      <w:pPr>
        <w:spacing w:after="90"/>
      </w:pPr>
      <w:r>
        <w:t xml:space="preserve"/>
      </w:r>
    </w:p>
    <w:p>
      <w:pPr>
        <w:spacing w:after="130"/>
      </w:pPr>
      <w:r>
        <w:t xml:space="preserve">Three direct competitors are identified. Golden Fleece, three blocks east, operates 32 seats at an average check of $41, accepts no reservations, and frequently records waits of 50 minutes on weekends. The Admiral draws from the wider city at an average check of $46 and does not compete for the same local occasion. Two taquerias on the same block set a $17 price floor for casual meals but do not offer full-service dinner after 9 p.m. on weeknights.</w:t>
      </w:r>
    </w:p>
    <w:p>
      <w:pPr>
        <w:spacing w:after="90"/>
      </w:pPr>
      <w:r>
        <w:t xml:space="preserve"/>
      </w:r>
    </w:p>
    <w:p>
      <w:pPr>
        <w:spacing w:after="130"/>
      </w:pPr>
      <w:r>
        <w:t xml:space="preserve">The operator states that reservations and extended weeknight hours past 9 p.m. constitute the primary points of differentiation. No data on total restaurant count, aggregate seat capacity, or unmet demand within the catchment beyond the seven competitors noted have been provided. Seasonality is described as summer-peak with low months at 74 percent of peak volume. All other market-size, penetration, or growth assumptions remain unquantified in the materials submitted.</w:t>
      </w:r>
    </w:p>
    <w:p>
      <w:pPr>
        <w:spacing w:after="90"/>
      </w:pPr>
      <w:r>
        <w:t xml:space="preserve"/>
      </w:r>
    </w:p>
    <w:p>
      <w:pPr>
        <w:pStyle w:val="Heading1"/>
        <w:spacing w:after="140" w:before="320"/>
      </w:pPr>
      <w:r>
        <w:t xml:space="preserve">Competitive Analysis</w:t>
      </w:r>
    </w:p>
    <w:p>
      <w:pPr>
        <w:spacing w:after="130"/>
      </w:pPr>
      <w:r>
        <w:t xml:space="preserve">The proposed 46-seat bistro would enter a block already containing two taquerias priced at an average $17 per cover and two other reviewed restaurants within three blocks. Golden Fleece operates 32 seats at $41 with no reservations and documented weekend waits of approximately 50 minutes. The Admiral prices at $46 and draws city-wide rather than neighbourhood traffic. The operator estimates seven total food-service competitors within the immediate catchment.</w:t>
      </w:r>
    </w:p>
    <w:p>
      <w:pPr>
        <w:spacing w:after="90"/>
      </w:pPr>
      <w:r>
        <w:t xml:space="preserve"/>
      </w:r>
    </w:p>
    <w:p>
      <w:pPr>
        <w:spacing w:after="130"/>
      </w:pPr>
      <w:r>
        <w:t xml:space="preserve">At a planned $37 average check the concept sits between the casual floor set by the taquerias and the higher price points of the two nearest full-service rooms. Differentiation rests on two stated service features: advance reservations on a street where the two best-reviewed rooms do not accept them, and the only full dinner service past 9 p.m. on weeknights. These features address documented overflow from Golden Fleece and the absence of late-weeknight capacity on the block.</w:t>
      </w:r>
    </w:p>
    <w:p>
      <w:pPr>
        <w:spacing w:after="90"/>
      </w:pPr>
      <w:r>
        <w:t xml:space="preserve"/>
      </w:r>
    </w:p>
    <w:p>
      <w:pPr>
        <w:spacing w:after="130"/>
      </w:pPr>
      <w:r>
        <w:t xml:space="preserve">The operator’s prior 14-month supper club, conducted two blocks away at a $52 fixed price, recorded nine consecutive sell-outs at 40 covers from a 2,100-name list. That evidence pertains to demand rather than competitive response. No data are supplied on the remaining three to five estimated competitors or on their seat counts, turn times, or reservation policies.</w:t>
      </w:r>
    </w:p>
    <w:p>
      <w:pPr>
        <w:spacing w:after="90"/>
      </w:pPr>
      <w:r>
        <w:t xml:space="preserve"/>
      </w:r>
    </w:p>
    <w:p>
      <w:pPr>
        <w:spacing w:after="130"/>
      </w:pPr>
      <w:r>
        <w:t xml:space="preserve">Steady-state capacity is calculated at 3,450 covers per month. The model assumes 75 percent utilisation and a 46 percent repeat rate once open. Labour and food cost together are projected at 58 percent of revenue, a combined ratio that must be maintained against any price pressure from the lower-cost taquerias or any loss of covers to the higher-priced rooms during slower months.</w:t>
      </w:r>
    </w:p>
    <w:p>
      <w:pPr>
        <w:spacing w:after="90"/>
      </w:pPr>
      <w:r>
        <w:t xml:space="preserve"/>
      </w:r>
    </w:p>
    <w:p>
      <w:pPr>
        <w:pStyle w:val="Heading1"/>
        <w:spacing w:after="140" w:before="320"/>
      </w:pPr>
      <w:r>
        <w:t xml:space="preserve">Marketing and Sales Plan</w:t>
      </w:r>
    </w:p>
    <w:p>
      <w:pPr>
        <w:spacing w:after="130"/>
      </w:pPr>
      <w:r>
        <w:t xml:space="preserve">Cedar &amp; Vine plans to generate revenue through a 46-seat neighbourhood bistro on Haywood Road in West Asheville. The operator intends to serve a short seasonal dinner menu six nights per week plus weekend brunch, with an average check of $37. The primary sales channel is walk-in traffic supplemented by reservations, a distinction from the two highest-reviewed nearby rooms that do not accept bookings. The site sits within a ten-minute walk of 11,800 residents and on a block that records 11,400 vehicles daily with 98 public parking spaces.</w:t>
      </w:r>
    </w:p>
    <w:p>
      <w:pPr>
        <w:spacing w:after="90"/>
      </w:pPr>
      <w:r>
        <w:t xml:space="preserve"/>
      </w:r>
    </w:p>
    <w:p>
      <w:pPr>
        <w:spacing w:after="130"/>
      </w:pPr>
      <w:r>
        <w:t xml:space="preserve">Demand evidence rests on fourteen months of monthly supper-club operations two blocks away. The last nine events sold out at 40 covers within 48 hours of release from a 2,100-name mailing list built without paid advertising. The operator projects that this list, combined with the corner location and later weeknight hours, will capture overflow from the 32-seat room three blocks east that routinely maintains a 50-minute wait on weekends. Pricing sits $4 below that competitor and well above the $17 casual floor set by two taquerias on the same block.</w:t>
      </w:r>
    </w:p>
    <w:p>
      <w:pPr>
        <w:spacing w:after="90"/>
      </w:pPr>
      <w:r>
        <w:t xml:space="preserve"/>
      </w:r>
    </w:p>
    <w:p>
      <w:pPr>
        <w:spacing w:after="130"/>
      </w:pPr>
      <w:r>
        <w:t xml:space="preserve">Sales are expected to reach 1,500 covers in the first month and 2,600 covers at steady state, reflecting 75 percent utilisation of the 3,450-cover monthly capacity ceiling. Product mix is projected at 58 percent dinner food, 30 percent beverages, and 12 percent brunch. Seasonality follows a summer peak with trough months at 74 percent of peak volume. Repeat business is assumed at 46 percent based on the supper-club experience. The operator plans to add one trading day in month 15 once the kitchen team can operate without the chef on every station; this step increases volume without a price increase. Monthly marketing spend is limited to the amount required to maintain the existing mailing list and local visibility.</w:t>
      </w:r>
    </w:p>
    <w:p>
      <w:pPr>
        <w:spacing w:after="90"/>
      </w:pPr>
      <w:r>
        <w:t xml:space="preserve"/>
      </w:r>
    </w:p>
    <w:p>
      <w:pPr>
        <w:pStyle w:val="Heading1"/>
        <w:spacing w:after="140" w:before="320"/>
      </w:pPr>
      <w:r>
        <w:t xml:space="preserve">Operations Plan</w:t>
      </w:r>
    </w:p>
    <w:p>
      <w:pPr>
        <w:spacing w:after="130"/>
      </w:pPr>
      <w:r>
        <w:t xml:space="preserve">The operations plan centers on a single 46-seat leased location operating 26 days per month for an average of nine hours per day. Dinner service runs six nights with an average of 1.6 seat turns per evening; weekend brunch adds the balance of volume. Monthly capacity reaches a ceiling of 3,450 covers once the unit stabilizes, producing steady-state monthly revenue of 96,200. Year-one revenue is projected at 870,610.</w:t>
      </w:r>
    </w:p>
    <w:p>
      <w:pPr>
        <w:spacing w:after="90"/>
      </w:pPr>
      <w:r>
        <w:t xml:space="preserve"/>
      </w:r>
    </w:p>
    <w:p>
      <w:pPr>
        <w:spacing w:after="130"/>
      </w:pPr>
      <w:r>
        <w:t xml:space="preserve">Two owners holding 100 percent of the equity will manage daily operations on a full-time basis. Their combined experience includes twelve years of kitchen and front-of-house roles with prior profit-and-loss accountability. A consultant has been retained on a fixed-fee basis to oversee build-out and the first ninety days; a CPA will perform monthly closes from the first operating month. Key hourly staff will include a sous chef and a bar lead/assistant general manager. Total headcount is planned at eight full-time equivalents.</w:t>
      </w:r>
    </w:p>
    <w:p>
      <w:pPr>
        <w:spacing w:after="90"/>
      </w:pPr>
      <w:r>
        <w:t xml:space="preserve"/>
      </w:r>
    </w:p>
    <w:p>
      <w:pPr>
        <w:spacing w:after="130"/>
      </w:pPr>
      <w:r>
        <w:t xml:space="preserve">Fixed monthly operating expenses total 45,470. Variable costs per cover are 11.10, producing a contribution margin of 25.90. Break-even revenue is 70,152, reached in month five with 54.96 percent headroom at steady state. Monthly debt service is 3,612.98, resulting in debt-service coverage ratios of 1.47 in year one, 1.63 in year two, and 1.73 in year three.</w:t>
      </w:r>
    </w:p>
    <w:p>
      <w:pPr>
        <w:spacing w:after="90"/>
      </w:pPr>
      <w:r>
        <w:t xml:space="preserve"/>
      </w:r>
    </w:p>
    <w:p>
      <w:pPr>
        <w:spacing w:after="130"/>
      </w:pPr>
      <w:r>
        <w:t xml:space="preserve">All zoning approvals are in place. Required licenses have been applied for or are already held. Insurance has been quoted. The owners have provided a personal guarantee and confirm no credit issues or bankruptcy history.</w:t>
      </w:r>
    </w:p>
    <w:p>
      <w:pPr>
        <w:spacing w:after="90"/>
      </w:pPr>
      <w:r>
        <w:t xml:space="preserve"/>
      </w:r>
    </w:p>
    <w:p>
      <w:pPr>
        <w:pStyle w:val="Heading1"/>
        <w:spacing w:after="140" w:before="320"/>
      </w:pPr>
      <w:r>
        <w:t xml:space="preserve">Management and Organisation</w:t>
      </w:r>
    </w:p>
    <w:p>
      <w:pPr>
        <w:spacing w:after="130"/>
      </w:pPr>
      <w:r>
        <w:t xml:space="preserve">The management of Cedar &amp; Vine Kitchen LLC rests with two owners who hold 100 percent of the membership interests. Renata Alvarez owns 60 percent and will serve as executive chef. She has twelve years of restaurant kitchen experience, including line and sous chef positions at Rhubarb in Asheville and four years as executive chef of a 70-seat independent restaurant in Charleston where she carried full responsibility for food and labour costs. Tobias Lindqvist owns the remaining 40 percent and will manage front-of-house and beverage operations. He previously ran front of house and the bar programme at a 90-cover restaurant in Raleigh for six years.</w:t>
      </w:r>
    </w:p>
    <w:p>
      <w:pPr>
        <w:spacing w:after="90"/>
      </w:pPr>
      <w:r>
        <w:t xml:space="preserve"/>
      </w:r>
    </w:p>
    <w:p>
      <w:pPr>
        <w:spacing w:after="130"/>
      </w:pPr>
      <w:r>
        <w:t xml:space="preserve">Both owners will work full time. Each has prior experience managing profit-and-loss statements. The owners have not previously opened a restaurant from an empty shell. To address this gap, the company has contracted a local restaurant consultant for the build-out phase and the first ninety days of operations under a fixed-fee agreement of $9,500. A certified public accountant has been retained at $560 per month to complete monthly financial closes beginning in month one.</w:t>
      </w:r>
    </w:p>
    <w:p>
      <w:pPr>
        <w:spacing w:after="90"/>
      </w:pPr>
      <w:r>
        <w:t xml:space="preserve"/>
      </w:r>
    </w:p>
    <w:p>
      <w:pPr>
        <w:spacing w:after="130"/>
      </w:pPr>
      <w:r>
        <w:t xml:space="preserve">The company intends to hire a sous chef and a bar lead who will also act as assistant general manager. One owner holds a ServSafe food protection manager certification valid through 2029. No other key management positions are identified at this stage.</w:t>
      </w:r>
    </w:p>
    <w:p>
      <w:pPr>
        <w:spacing w:after="90"/>
      </w:pPr>
      <w:r>
        <w:t xml:space="preserve"/>
      </w:r>
    </w:p>
    <w:p>
      <w:pPr>
        <w:pStyle w:val="Heading1"/>
        <w:spacing w:after="140" w:before="320"/>
      </w:pPr>
      <w:r>
        <w:t xml:space="preserve">Licensing and Compliance</w:t>
      </w:r>
    </w:p>
    <w:p>
      <w:pPr>
        <w:spacing w:after="130"/>
      </w:pPr>
      <w:r>
        <w:t xml:space="preserve">Cedar &amp; Vine Kitchen LLC was formed as a North Carolina limited liability company on 19 January 2026 and holds an EIN. The two owners, holding 60 percent and 40 percent interests respectively, are U.S. citizens with no federal debt defaults or bankruptcy history. The leased premises on Haywood Road have received zoning confirmation for the intended use.</w:t>
      </w:r>
    </w:p>
    <w:p>
      <w:pPr>
        <w:spacing w:after="90"/>
      </w:pPr>
      <w:r>
        <w:t xml:space="preserve"/>
      </w:r>
    </w:p>
    <w:p>
      <w:pPr>
        <w:spacing w:after="130"/>
      </w:pPr>
      <w:r>
        <w:t xml:space="preserve">The operator holds a valid ServSafe food protection manager certification through 2029. Of the six licenses or permits tracked for the operation, two carry an “applied” status, two are listed as “held,” and two remain in “not started” status. Insurance coverage has been quoted but is not yet bound. The lease includes a personal guarantee from the owners and runs 84 months with a 3 percent annual escalation.</w:t>
      </w:r>
    </w:p>
    <w:p>
      <w:pPr>
        <w:spacing w:after="90"/>
      </w:pPr>
      <w:r>
        <w:t xml:space="preserve"/>
      </w:r>
    </w:p>
    <w:p>
      <w:pPr>
        <w:spacing w:after="130"/>
      </w:pPr>
      <w:r>
        <w:t xml:space="preserve">No additional corporate or ownership-level compliance issues are recorded. The owners report twelve combined years of restaurant operating experience, including prior profit-and-loss responsibility, and have retained external bookkeeping support beginning in the first month of operations. All required federal and state filings for the LLC are current as of the formation date.</w:t>
      </w:r>
    </w:p>
    <w:p>
      <w:pPr>
        <w:spacing w:after="90"/>
      </w:pPr>
      <w:r>
        <w:t xml:space="preserve"/>
      </w:r>
    </w:p>
    <w:p>
      <w:pPr>
        <w:pStyle w:val="Heading1"/>
        <w:spacing w:after="140" w:before="320"/>
      </w:pPr>
      <w:r>
        <w:t xml:space="preserve">Financial Plan</w:t>
      </w:r>
    </w:p>
    <w:p>
      <w:pPr>
        <w:spacing w:after="130"/>
      </w:pPr>
      <w:r>
        <w:t xml:space="preserve">The financial plan for Cedar &amp; Vine Kitchen LLC projects a total startup requirement of $350,200. This comprises $298,200 in capital expenditures for kitchen equipment, build-out, refrigeration, furnishings, and related items, plus a working-capital reserve. The owners will inject $96,000, or 27.41 percent of the total requirement, with the balance funded by the requested $265,000 loan. The loan is structured over 120 months at 10.75 percent, producing a monthly debt service of $3,612.98. A funding surplus of $10,800 remains after all identified uses.</w:t>
      </w:r>
    </w:p>
    <w:p>
      <w:pPr>
        <w:spacing w:after="90"/>
      </w:pPr>
      <w:r>
        <w:t xml:space="preserve"/>
      </w:r>
    </w:p>
    <w:p>
      <w:pPr>
        <w:spacing w:after="130"/>
      </w:pPr>
      <w:r>
        <w:t xml:space="preserve">Steady-state monthly revenue is projected at $96,200 once the restaurant reaches 2,600 covers per month. Year-one revenue is estimated at $870,610. The contribution margin per cover is $25.90 after variable costs of $11.10. Fixed monthly operating expenses total $45,470, which includes rent of $6,900, payroll of $27,264, and other recurring items. These figures produce a projected debt-service coverage ratio of 1.47 in year one, rising to 1.63 in year two and 1.73 in year three under the stated revenue-growth assumptions.</w:t>
      </w:r>
    </w:p>
    <w:p>
      <w:pPr>
        <w:spacing w:after="90"/>
      </w:pPr>
      <w:r>
        <w:t xml:space="preserve"/>
      </w:r>
    </w:p>
    <w:p>
      <w:pPr>
        <w:spacing w:after="130"/>
      </w:pPr>
      <w:r>
        <w:t xml:space="preserve">Break-even occurs at 1,896 covers, or $70,152 in monthly revenue, which the model reaches in month five. The cash balance reaches its lowest point of approximately $9,980 in month four before turning positive. The lease carries a personal guarantee, and the lender is offered a collateral package consisting of the kitchen line, refrigeration, bar equipment, and dining-room fit-out valued at $155,000. The owners report no prior credit issues, existing business debt, or federal defaults, and both are U.S. citizens.</w:t>
      </w:r>
    </w:p>
    <w:p>
      <w:pPr>
        <w:spacing w:after="90"/>
      </w:pPr>
      <w:r>
        <w:t xml:space="preserve"/>
      </w:r>
    </w:p>
    <w:p>
      <w:pPr>
        <w:pStyle w:val="Heading2"/>
        <w:spacing w:after="110" w:before="240"/>
      </w:pPr>
      <w:r>
        <w:t xml:space="preserve">Startup Investment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0F4C5C" w:color="auto" w:val="clear"/>
            <w:tcMar>
              <w:top w:type="dxa" w:w="50"/>
              <w:left w:type="dxa" w:w="80"/>
              <w:bottom w:type="dxa" w:w="50"/>
              <w:right w:type="dxa" w:w="80"/>
            </w:tcMar>
          </w:tcPr>
          <w:p>
            <w:pPr>
              <w:spacing w:after="0"/>
              <w:jc w:val="left"/>
            </w:pPr>
            <w:r>
              <w:rPr>
                <w:b/>
                <w:bCs/>
                <w:color w:val="FFFFFF"/>
                <w:sz w:val="17"/>
                <w:szCs w:val="17"/>
              </w:rPr>
              <w:t xml:space="preserve">Startup purchase</w:t>
            </w:r>
          </w:p>
        </w:tc>
        <w:tc>
          <w:tcPr>
            <w:tcW w:type="dxa" w:w="312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c>
          <w:tcPr>
            <w:tcW w:type="dxa" w:w="3120"/>
            <w:shd w:fill="0F4C5C" w:color="auto" w:val="clear"/>
            <w:tcMar>
              <w:top w:type="dxa" w:w="50"/>
              <w:left w:type="dxa" w:w="80"/>
              <w:bottom w:type="dxa" w:w="50"/>
              <w:right w:type="dxa" w:w="80"/>
            </w:tcMar>
          </w:tcPr>
          <w:p>
            <w:pPr>
              <w:spacing w:after="0"/>
              <w:jc w:val="right"/>
            </w:pPr>
            <w:r>
              <w:rPr>
                <w:b/>
                <w:bCs/>
                <w:color w:val="FFFFFF"/>
                <w:sz w:val="17"/>
                <w:szCs w:val="17"/>
              </w:rPr>
              <w:t xml:space="preserve">Basis</w:t>
            </w:r>
          </w:p>
        </w:tc>
      </w:tr>
      <w:tr>
        <w:tc>
          <w:tcPr>
            <w:tcW w:type="dxa" w:w="3120"/>
            <w:tcMar>
              <w:top w:type="dxa" w:w="50"/>
              <w:left w:type="dxa" w:w="80"/>
              <w:bottom w:type="dxa" w:w="50"/>
              <w:right w:type="dxa" w:w="80"/>
            </w:tcMar>
          </w:tcPr>
          <w:p>
            <w:pPr>
              <w:spacing w:after="0"/>
              <w:jc w:val="left"/>
            </w:pPr>
            <w:r>
              <w:rPr>
                <w:sz w:val="17"/>
                <w:szCs w:val="17"/>
              </w:rPr>
              <w:t xml:space="preserve">Kitchen line: range, ovens, hood and fire suppression</w:t>
            </w:r>
          </w:p>
        </w:tc>
        <w:tc>
          <w:tcPr>
            <w:tcW w:type="dxa" w:w="3120"/>
            <w:tcMar>
              <w:top w:type="dxa" w:w="50"/>
              <w:left w:type="dxa" w:w="80"/>
              <w:bottom w:type="dxa" w:w="50"/>
              <w:right w:type="dxa" w:w="80"/>
            </w:tcMar>
          </w:tcPr>
          <w:p>
            <w:pPr>
              <w:spacing w:after="0"/>
              <w:jc w:val="right"/>
            </w:pPr>
            <w:r>
              <w:rPr>
                <w:sz w:val="17"/>
                <w:szCs w:val="17"/>
              </w:rPr>
              <w:t xml:space="preserve">$78,000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Build-out: plumbing, electrical, grease trap, ADA restroom</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$96,000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quote</w:t>
            </w:r>
          </w:p>
        </w:tc>
      </w:tr>
      <w:tr>
        <w:tc>
          <w:tcPr>
            <w:tcW w:type="dxa" w:w="3120"/>
            <w:tcMar>
              <w:top w:type="dxa" w:w="50"/>
              <w:left w:type="dxa" w:w="80"/>
              <w:bottom w:type="dxa" w:w="50"/>
              <w:right w:type="dxa" w:w="80"/>
            </w:tcMar>
          </w:tcPr>
          <w:p>
            <w:pPr>
              <w:spacing w:after="0"/>
              <w:jc w:val="left"/>
            </w:pPr>
            <w:r>
              <w:rPr>
                <w:sz w:val="17"/>
                <w:szCs w:val="17"/>
              </w:rPr>
              <w:t xml:space="preserve">Refrigeration: walk-in, undercounter, bar wells</w:t>
            </w:r>
          </w:p>
        </w:tc>
        <w:tc>
          <w:tcPr>
            <w:tcW w:type="dxa" w:w="3120"/>
            <w:tcMar>
              <w:top w:type="dxa" w:w="50"/>
              <w:left w:type="dxa" w:w="80"/>
              <w:bottom w:type="dxa" w:w="50"/>
              <w:right w:type="dxa" w:w="80"/>
            </w:tcMar>
          </w:tcPr>
          <w:p>
            <w:pPr>
              <w:spacing w:after="0"/>
              <w:jc w:val="right"/>
            </w:pPr>
            <w:r>
              <w:rPr>
                <w:sz w:val="17"/>
                <w:szCs w:val="17"/>
              </w:rPr>
              <w:t xml:space="preserve">$31,000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Dining room: tables, chairs, banquette, lighting</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$27,500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estimate</w:t>
            </w:r>
          </w:p>
        </w:tc>
      </w:tr>
      <w:tr>
        <w:tc>
          <w:tcPr>
            <w:tcW w:type="dxa" w:w="3120"/>
            <w:tcMar>
              <w:top w:type="dxa" w:w="50"/>
              <w:left w:type="dxa" w:w="80"/>
              <w:bottom w:type="dxa" w:w="50"/>
              <w:right w:type="dxa" w:w="80"/>
            </w:tcMar>
          </w:tcPr>
          <w:p>
            <w:pPr>
              <w:spacing w:after="0"/>
              <w:jc w:val="left"/>
            </w:pPr>
            <w:r>
              <w:rPr>
                <w:sz w:val="17"/>
                <w:szCs w:val="17"/>
              </w:rPr>
              <w:t xml:space="preserve">Bar build and draft system</w:t>
            </w:r>
          </w:p>
        </w:tc>
        <w:tc>
          <w:tcPr>
            <w:tcW w:type="dxa" w:w="3120"/>
            <w:tcMar>
              <w:top w:type="dxa" w:w="50"/>
              <w:left w:type="dxa" w:w="80"/>
              <w:bottom w:type="dxa" w:w="50"/>
              <w:right w:type="dxa" w:w="80"/>
            </w:tcMar>
          </w:tcPr>
          <w:p>
            <w:pPr>
              <w:spacing w:after="0"/>
              <w:jc w:val="right"/>
            </w:pPr>
            <w:r>
              <w:rPr>
                <w:sz w:val="17"/>
                <w:szCs w:val="17"/>
              </w:rPr>
              <w:t xml:space="preserve">$18,500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POS, reservations and back-office hardware</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$6,800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quote</w:t>
            </w:r>
          </w:p>
        </w:tc>
      </w:tr>
      <w:tr>
        <w:tc>
          <w:tcPr>
            <w:tcW w:type="dxa" w:w="3120"/>
            <w:tcMar>
              <w:top w:type="dxa" w:w="50"/>
              <w:left w:type="dxa" w:w="80"/>
              <w:bottom w:type="dxa" w:w="50"/>
              <w:right w:type="dxa" w:w="80"/>
            </w:tcMar>
          </w:tcPr>
          <w:p>
            <w:pPr>
              <w:spacing w:after="0"/>
              <w:jc w:val="left"/>
            </w:pPr>
            <w:r>
              <w:rPr>
                <w:sz w:val="17"/>
                <w:szCs w:val="17"/>
              </w:rPr>
              <w:t xml:space="preserve">Smallwares, china, glassware and opening inventory</w:t>
            </w:r>
          </w:p>
        </w:tc>
        <w:tc>
          <w:tcPr>
            <w:tcW w:type="dxa" w:w="3120"/>
            <w:tcMar>
              <w:top w:type="dxa" w:w="50"/>
              <w:left w:type="dxa" w:w="80"/>
              <w:bottom w:type="dxa" w:w="50"/>
              <w:right w:type="dxa" w:w="80"/>
            </w:tcMar>
          </w:tcPr>
          <w:p>
            <w:pPr>
              <w:spacing w:after="0"/>
              <w:jc w:val="right"/>
            </w:pPr>
            <w:r>
              <w:rPr>
                <w:sz w:val="17"/>
                <w:szCs w:val="17"/>
              </w:rPr>
              <w:t xml:space="preserve">$16,400</w:t>
            </w:r>
          </w:p>
        </w:tc>
        <w:tc>
          <w:tcPr>
            <w:tcW w:type="dxa" w:w="3120"/>
            <w:tcMar>
              <w:top w:type="dxa" w:w="50"/>
              <w:left w:type="dxa" w:w="80"/>
              <w:bottom w:type="dxa" w:w="50"/>
              <w:right w:type="dxa" w:w="80"/>
            </w:tcMar>
          </w:tcPr>
          <w:p>
            <w:pPr>
              <w:spacing w:after="0"/>
              <w:jc w:val="right"/>
            </w:pPr>
            <w:r>
              <w:rPr>
                <w:sz w:val="17"/>
                <w:szCs w:val="17"/>
              </w:rPr>
              <w:t xml:space="preserve">estimate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Signage, permits and build-out contingency at 15%</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$24,000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estimate</w:t>
            </w:r>
          </w:p>
        </w:tc>
      </w:tr>
      <w:tr>
        <w:tc>
          <w:tcPr>
            <w:tcW w:type="dxa" w:w="3120"/>
            <w:tcMar>
              <w:top w:type="dxa" w:w="50"/>
              <w:left w:type="dxa" w:w="80"/>
              <w:bottom w:type="dxa" w:w="50"/>
              <w:right w:type="dxa" w:w="80"/>
            </w:tcMar>
          </w:tcPr>
          <w:p>
            <w:pPr>
              <w:spacing w:after="0"/>
              <w:jc w:val="left"/>
            </w:pPr>
            <w:r>
              <w:rPr>
                <w:b/>
                <w:bCs/>
                <w:sz w:val="17"/>
                <w:szCs w:val="17"/>
              </w:rPr>
              <w:t xml:space="preserve">Total capital expenditure</w:t>
            </w:r>
          </w:p>
        </w:tc>
        <w:tc>
          <w:tcPr>
            <w:tcW w:type="dxa" w:w="3120"/>
            <w:tcMar>
              <w:top w:type="dxa" w:w="50"/>
              <w:left w:type="dxa" w:w="80"/>
              <w:bottom w:type="dxa" w:w="50"/>
              <w:right w:type="dxa" w:w="80"/>
            </w:tcMar>
          </w:tcPr>
          <w:p>
            <w:pPr>
              <w:spacing w:after="0"/>
              <w:jc w:val="right"/>
            </w:pPr>
            <w:r>
              <w:rPr>
                <w:b/>
                <w:bCs/>
                <w:sz w:val="17"/>
                <w:szCs w:val="17"/>
              </w:rPr>
              <w:t xml:space="preserve">$298,200</w:t>
            </w:r>
          </w:p>
        </w:tc>
        <w:tc>
          <w:tcPr>
            <w:tcW w:type="dxa" w:w="3120"/>
            <w:tcMar>
              <w:top w:type="dxa" w:w="50"/>
              <w:left w:type="dxa" w:w="80"/>
              <w:bottom w:type="dxa" w:w="50"/>
              <w:right w:type="dxa" w:w="80"/>
            </w:tcMar>
          </w:tcPr>
          <w:p>
            <w:pPr>
              <w:spacing w:after="0"/>
              <w:jc w:val="right"/>
            </w:pPr>
            <w:r>
              <w:rPr>
                <w:sz w:val="17"/>
                <w:szCs w:val="17"/>
              </w:rPr>
              <w:t xml:space="preserve"/>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Working-capital reserve</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$52,000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operator</w:t>
            </w:r>
          </w:p>
        </w:tc>
      </w:tr>
      <w:tr>
        <w:tc>
          <w:tcPr>
            <w:tcW w:type="dxa" w:w="3120"/>
            <w:tcMar>
              <w:top w:type="dxa" w:w="50"/>
              <w:left w:type="dxa" w:w="80"/>
              <w:bottom w:type="dxa" w:w="50"/>
              <w:right w:type="dxa" w:w="80"/>
            </w:tcMar>
          </w:tcPr>
          <w:p>
            <w:pPr>
              <w:spacing w:after="0"/>
              <w:jc w:val="left"/>
            </w:pPr>
            <w:r>
              <w:rPr>
                <w:b/>
                <w:bCs/>
                <w:sz w:val="17"/>
                <w:szCs w:val="17"/>
              </w:rPr>
              <w:t xml:space="preserve">Total startup requirement</w:t>
            </w:r>
          </w:p>
        </w:tc>
        <w:tc>
          <w:tcPr>
            <w:tcW w:type="dxa" w:w="3120"/>
            <w:tcMar>
              <w:top w:type="dxa" w:w="50"/>
              <w:left w:type="dxa" w:w="80"/>
              <w:bottom w:type="dxa" w:w="50"/>
              <w:right w:type="dxa" w:w="80"/>
            </w:tcMar>
          </w:tcPr>
          <w:p>
            <w:pPr>
              <w:spacing w:after="0"/>
              <w:jc w:val="right"/>
            </w:pPr>
            <w:r>
              <w:rPr>
                <w:b/>
                <w:bCs/>
                <w:sz w:val="17"/>
                <w:szCs w:val="17"/>
              </w:rPr>
              <w:t xml:space="preserve">$350,200</w:t>
            </w:r>
          </w:p>
        </w:tc>
        <w:tc>
          <w:tcPr>
            <w:tcW w:type="dxa" w:w="3120"/>
            <w:tcMar>
              <w:top w:type="dxa" w:w="50"/>
              <w:left w:type="dxa" w:w="80"/>
              <w:bottom w:type="dxa" w:w="50"/>
              <w:right w:type="dxa" w:w="80"/>
            </w:tcMar>
          </w:tcPr>
          <w:p>
            <w:pPr>
              <w:spacing w:after="0"/>
              <w:jc w:val="right"/>
            </w:pPr>
            <w:r>
              <w:rPr>
                <w:sz w:val="17"/>
                <w:szCs w:val="17"/>
              </w:rPr>
              <w:t xml:space="preserve"/>
            </w:r>
          </w:p>
        </w:tc>
      </w:tr>
    </w:tbl>
    <w:p>
      <w:pPr>
        <w:spacing w:after="140"/>
      </w:pPr>
      <w:r>
        <w:t xml:space="preserve"/>
      </w:r>
    </w:p>
    <w:p>
      <w:pPr>
        <w:spacing w:after="90"/>
      </w:pPr>
      <w:r>
        <w:t xml:space="preserve"/>
      </w:r>
    </w:p>
    <w:p>
      <w:pPr>
        <w:pStyle w:val="Heading2"/>
        <w:spacing w:after="110" w:before="240"/>
      </w:pPr>
      <w:r>
        <w:t xml:space="preserve">Fixed Monthly Costs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Fixed monthly cost</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r>
      <w:tr>
        <w:tc>
          <w:tcPr>
            <w:tcW w:type="dxa" w:w="4680"/>
            <w:tcMar>
              <w:top w:type="dxa" w:w="50"/>
              <w:left w:type="dxa" w:w="80"/>
              <w:bottom w:type="dxa" w:w="50"/>
              <w:right w:type="dxa" w:w="80"/>
            </w:tcMar>
          </w:tcPr>
          <w:p>
            <w:pPr>
              <w:spacing w:after="0"/>
              <w:jc w:val="left"/>
            </w:pPr>
            <w:r>
              <w:rPr>
                <w:sz w:val="17"/>
                <w:szCs w:val="17"/>
              </w:rPr>
              <w:t xml:space="preserve">Rent</w:t>
            </w:r>
          </w:p>
        </w:tc>
        <w:tc>
          <w:tcPr>
            <w:tcW w:type="dxa" w:w="4680"/>
            <w:tcMar>
              <w:top w:type="dxa" w:w="50"/>
              <w:left w:type="dxa" w:w="80"/>
              <w:bottom w:type="dxa" w:w="50"/>
              <w:right w:type="dxa" w:w="80"/>
            </w:tcMar>
          </w:tcPr>
          <w:p>
            <w:pPr>
              <w:spacing w:after="0"/>
              <w:jc w:val="right"/>
            </w:pPr>
            <w:r>
              <w:rPr>
                <w:sz w:val="17"/>
                <w:szCs w:val="17"/>
              </w:rPr>
              <w:t xml:space="preserve">$6,900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payroll</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$27,200</w:t>
            </w:r>
          </w:p>
        </w:tc>
      </w:tr>
      <w:tr>
        <w:tc>
          <w:tcPr>
            <w:tcW w:type="dxa" w:w="4680"/>
            <w:tcMar>
              <w:top w:type="dxa" w:w="50"/>
              <w:left w:type="dxa" w:w="80"/>
              <w:bottom w:type="dxa" w:w="50"/>
              <w:right w:type="dxa" w:w="80"/>
            </w:tcMar>
          </w:tcPr>
          <w:p>
            <w:pPr>
              <w:spacing w:after="0"/>
              <w:jc w:val="left"/>
            </w:pPr>
            <w:r>
              <w:rPr>
                <w:sz w:val="17"/>
                <w:szCs w:val="17"/>
              </w:rPr>
              <w:t xml:space="preserve">owner draw</w:t>
            </w:r>
          </w:p>
        </w:tc>
        <w:tc>
          <w:tcPr>
            <w:tcW w:type="dxa" w:w="4680"/>
            <w:tcMar>
              <w:top w:type="dxa" w:w="50"/>
              <w:left w:type="dxa" w:w="80"/>
              <w:bottom w:type="dxa" w:w="50"/>
              <w:right w:type="dxa" w:w="80"/>
            </w:tcMar>
          </w:tcPr>
          <w:p>
            <w:pPr>
              <w:spacing w:after="0"/>
              <w:jc w:val="right"/>
            </w:pPr>
            <w:r>
              <w:rPr>
                <w:sz w:val="17"/>
                <w:szCs w:val="17"/>
              </w:rPr>
              <w:t xml:space="preserve">$4,000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utilities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$2,000</w:t>
            </w:r>
          </w:p>
        </w:tc>
      </w:tr>
      <w:tr>
        <w:tc>
          <w:tcPr>
            <w:tcW w:type="dxa" w:w="4680"/>
            <w:tcMar>
              <w:top w:type="dxa" w:w="50"/>
              <w:left w:type="dxa" w:w="80"/>
              <w:bottom w:type="dxa" w:w="50"/>
              <w:right w:type="dxa" w:w="80"/>
            </w:tcMar>
          </w:tcPr>
          <w:p>
            <w:pPr>
              <w:spacing w:after="0"/>
              <w:jc w:val="left"/>
            </w:pPr>
            <w:r>
              <w:rPr>
                <w:sz w:val="17"/>
                <w:szCs w:val="17"/>
              </w:rPr>
              <w:t xml:space="preserve">insurance</w:t>
            </w:r>
          </w:p>
        </w:tc>
        <w:tc>
          <w:tcPr>
            <w:tcW w:type="dxa" w:w="4680"/>
            <w:tcMar>
              <w:top w:type="dxa" w:w="50"/>
              <w:left w:type="dxa" w:w="80"/>
              <w:bottom w:type="dxa" w:w="50"/>
              <w:right w:type="dxa" w:w="80"/>
            </w:tcMar>
          </w:tcPr>
          <w:p>
            <w:pPr>
              <w:spacing w:after="0"/>
              <w:jc w:val="right"/>
            </w:pPr>
            <w:r>
              <w:rPr>
                <w:sz w:val="17"/>
                <w:szCs w:val="17"/>
              </w:rPr>
              <w:t xml:space="preserve">$1,080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marketing</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$650</w:t>
            </w:r>
          </w:p>
        </w:tc>
      </w:tr>
      <w:tr>
        <w:tc>
          <w:tcPr>
            <w:tcW w:type="dxa" w:w="4680"/>
            <w:tcMar>
              <w:top w:type="dxa" w:w="50"/>
              <w:left w:type="dxa" w:w="80"/>
              <w:bottom w:type="dxa" w:w="50"/>
              <w:right w:type="dxa" w:w="80"/>
            </w:tcMar>
          </w:tcPr>
          <w:p>
            <w:pPr>
              <w:spacing w:after="0"/>
              <w:jc w:val="left"/>
            </w:pPr>
            <w:r>
              <w:rPr>
                <w:sz w:val="17"/>
                <w:szCs w:val="17"/>
              </w:rPr>
              <w:t xml:space="preserve">software</w:t>
            </w:r>
          </w:p>
        </w:tc>
        <w:tc>
          <w:tcPr>
            <w:tcW w:type="dxa" w:w="4680"/>
            <w:tcMar>
              <w:top w:type="dxa" w:w="50"/>
              <w:left w:type="dxa" w:w="80"/>
              <w:bottom w:type="dxa" w:w="50"/>
              <w:right w:type="dxa" w:w="80"/>
            </w:tcMar>
          </w:tcPr>
          <w:p>
            <w:pPr>
              <w:spacing w:after="0"/>
              <w:jc w:val="right"/>
            </w:pPr>
            <w:r>
              <w:rPr>
                <w:sz w:val="17"/>
                <w:szCs w:val="17"/>
              </w:rPr>
              <w:t xml:space="preserve">$480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accounting</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$560</w:t>
            </w:r>
          </w:p>
        </w:tc>
      </w:tr>
      <w:tr>
        <w:tc>
          <w:tcPr>
            <w:tcW w:type="dxa" w:w="4680"/>
            <w:tcMar>
              <w:top w:type="dxa" w:w="50"/>
              <w:left w:type="dxa" w:w="80"/>
              <w:bottom w:type="dxa" w:w="50"/>
              <w:right w:type="dxa" w:w="80"/>
            </w:tcMar>
          </w:tcPr>
          <w:p>
            <w:pPr>
              <w:spacing w:after="0"/>
              <w:jc w:val="left"/>
            </w:pPr>
            <w:r>
              <w:rPr>
                <w:sz w:val="17"/>
                <w:szCs w:val="17"/>
              </w:rPr>
              <w:t xml:space="preserve">maintenance</w:t>
            </w:r>
          </w:p>
        </w:tc>
        <w:tc>
          <w:tcPr>
            <w:tcW w:type="dxa" w:w="4680"/>
            <w:tcMar>
              <w:top w:type="dxa" w:w="50"/>
              <w:left w:type="dxa" w:w="80"/>
              <w:bottom w:type="dxa" w:w="50"/>
              <w:right w:type="dxa" w:w="80"/>
            </w:tcMar>
          </w:tcPr>
          <w:p>
            <w:pPr>
              <w:spacing w:after="0"/>
              <w:jc w:val="right"/>
            </w:pPr>
            <w:r>
              <w:rPr>
                <w:sz w:val="17"/>
                <w:szCs w:val="17"/>
              </w:rPr>
              <w:t xml:space="preserve">$780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supplies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$1,300</w:t>
            </w:r>
          </w:p>
        </w:tc>
      </w:tr>
      <w:tr>
        <w:tc>
          <w:tcPr>
            <w:tcW w:type="dxa" w:w="4680"/>
            <w:tcMar>
              <w:top w:type="dxa" w:w="50"/>
              <w:left w:type="dxa" w:w="80"/>
              <w:bottom w:type="dxa" w:w="50"/>
              <w:right w:type="dxa" w:w="80"/>
            </w:tcMar>
          </w:tcPr>
          <w:p>
            <w:pPr>
              <w:spacing w:after="0"/>
              <w:jc w:val="left"/>
            </w:pPr>
            <w:r>
              <w:rPr>
                <w:sz w:val="17"/>
                <w:szCs w:val="17"/>
              </w:rPr>
              <w:t xml:space="preserve">other</w:t>
            </w:r>
          </w:p>
        </w:tc>
        <w:tc>
          <w:tcPr>
            <w:tcW w:type="dxa" w:w="4680"/>
            <w:tcMar>
              <w:top w:type="dxa" w:w="50"/>
              <w:left w:type="dxa" w:w="80"/>
              <w:bottom w:type="dxa" w:w="50"/>
              <w:right w:type="dxa" w:w="80"/>
            </w:tcMar>
          </w:tcPr>
          <w:p>
            <w:pPr>
              <w:spacing w:after="0"/>
              <w:jc w:val="right"/>
            </w:pPr>
            <w:r>
              <w:rPr>
                <w:sz w:val="17"/>
                <w:szCs w:val="17"/>
              </w:rPr>
              <w:t xml:space="preserve">$520</w:t>
            </w:r>
          </w:p>
        </w:tc>
      </w:tr>
      <w:tr>
        <w:tc>
          <w:tcPr>
            <w:tcW w:type="dxa" w:w="4680"/>
            <w:shd w:fill="EEF3F4" w:color="auto" w:val="clear"/>
            <w:tcMar>
              <w:top w:type="dxa" w:w="50"/>
              <w:left w:type="dxa" w:w="80"/>
              <w:bottom w:type="dxa" w:w="50"/>
              <w:right w:type="dxa" w:w="80"/>
            </w:tcMar>
          </w:tcPr>
          <w:p>
            <w:pPr>
              <w:spacing w:after="0"/>
              <w:jc w:val="left"/>
            </w:pPr>
            <w:r>
              <w:rPr>
                <w:b/>
                <w:bCs/>
                <w:sz w:val="17"/>
                <w:szCs w:val="17"/>
              </w:rPr>
              <w:t xml:space="preserve">Total fixed monthly</w:t>
            </w:r>
          </w:p>
        </w:tc>
        <w:tc>
          <w:tcPr>
            <w:tcW w:type="dxa" w:w="4680"/>
            <w:shd w:fill="EEF3F4" w:color="auto" w:val="clear"/>
            <w:tcMar>
              <w:top w:type="dxa" w:w="50"/>
              <w:left w:type="dxa" w:w="80"/>
              <w:bottom w:type="dxa" w:w="50"/>
              <w:right w:type="dxa" w:w="80"/>
            </w:tcMar>
          </w:tcPr>
          <w:p>
            <w:pPr>
              <w:spacing w:after="0"/>
              <w:jc w:val="right"/>
            </w:pPr>
            <w:r>
              <w:rPr>
                <w:b/>
                <w:bCs/>
                <w:sz w:val="17"/>
                <w:szCs w:val="17"/>
              </w:rPr>
              <w:t xml:space="preserve">$45,470</w:t>
            </w:r>
          </w:p>
        </w:tc>
      </w:tr>
    </w:tbl>
    <w:p>
      <w:pPr>
        <w:spacing w:after="140"/>
      </w:pPr>
      <w:r>
        <w:t xml:space="preserve"/>
      </w:r>
    </w:p>
    <w:p>
      <w:pPr>
        <w:spacing w:after="90"/>
      </w:pPr>
      <w:r>
        <w:t xml:space="preserve"/>
      </w:r>
    </w:p>
    <w:p>
      <w:pPr>
        <w:pStyle w:val="Heading2"/>
        <w:spacing w:after="110" w:before="240"/>
      </w:pPr>
      <w:r>
        <w:t xml:space="preserve">Monthly Profit and Loss —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40"/>
        <w:gridCol w:w="1040"/>
        <w:gridCol w:w="1040"/>
        <w:gridCol w:w="1040"/>
        <w:gridCol w:w="1040"/>
        <w:gridCol w:w="1040"/>
        <w:gridCol w:w="1040"/>
        <w:gridCol w:w="1040"/>
        <w:gridCol w:w="1040"/>
      </w:tblGrid>
      <w:tr>
        <w:trPr>
          <w:tblHeader/>
        </w:trPr>
        <w:tc>
          <w:tcPr>
            <w:tcW w:type="dxa" w:w="1040"/>
            <w:shd w:fill="0F4C5C" w:color="auto" w:val="clear"/>
            <w:tcMar>
              <w:top w:type="dxa" w:w="50"/>
              <w:left w:type="dxa" w:w="80"/>
              <w:bottom w:type="dxa" w:w="50"/>
              <w:right w:type="dxa" w:w="80"/>
            </w:tcMar>
          </w:tcPr>
          <w:p>
            <w:pPr>
              <w:spacing w:after="0"/>
              <w:jc w:val="left"/>
            </w:pPr>
            <w:r>
              <w:rPr>
                <w:b/>
                <w:bCs/>
                <w:color w:val="FFFFFF"/>
                <w:sz w:val="17"/>
                <w:szCs w:val="17"/>
              </w:rPr>
              <w:t xml:space="preserve">Month</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Units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Revenue</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COGS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Gross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Fixed</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EBITDA</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Debt service</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Net</w:t>
            </w:r>
          </w:p>
        </w:tc>
      </w:tr>
      <w:tr>
        <w:tc>
          <w:tcPr>
            <w:tcW w:type="dxa" w:w="1040"/>
            <w:tcMar>
              <w:top w:type="dxa" w:w="50"/>
              <w:left w:type="dxa" w:w="80"/>
              <w:bottom w:type="dxa" w:w="50"/>
              <w:right w:type="dxa" w:w="80"/>
            </w:tcMar>
          </w:tcPr>
          <w:p>
            <w:pPr>
              <w:spacing w:after="0"/>
              <w:jc w:val="left"/>
            </w:pPr>
            <w:r>
              <w:rPr>
                <w:sz w:val="17"/>
                <w:szCs w:val="17"/>
              </w:rPr>
              <w:t xml:space="preserve">1</w:t>
            </w:r>
          </w:p>
        </w:tc>
        <w:tc>
          <w:tcPr>
            <w:tcW w:type="dxa" w:w="1040"/>
            <w:tcMar>
              <w:top w:type="dxa" w:w="50"/>
              <w:left w:type="dxa" w:w="80"/>
              <w:bottom w:type="dxa" w:w="50"/>
              <w:right w:type="dxa" w:w="80"/>
            </w:tcMar>
          </w:tcPr>
          <w:p>
            <w:pPr>
              <w:spacing w:after="0"/>
              <w:jc w:val="right"/>
            </w:pPr>
            <w:r>
              <w:rPr>
                <w:sz w:val="17"/>
                <w:szCs w:val="17"/>
              </w:rPr>
              <w:t xml:space="preserve">1,110</w:t>
            </w:r>
          </w:p>
        </w:tc>
        <w:tc>
          <w:tcPr>
            <w:tcW w:type="dxa" w:w="1040"/>
            <w:tcMar>
              <w:top w:type="dxa" w:w="50"/>
              <w:left w:type="dxa" w:w="80"/>
              <w:bottom w:type="dxa" w:w="50"/>
              <w:right w:type="dxa" w:w="80"/>
            </w:tcMar>
          </w:tcPr>
          <w:p>
            <w:pPr>
              <w:spacing w:after="0"/>
              <w:jc w:val="right"/>
            </w:pPr>
            <w:r>
              <w:rPr>
                <w:sz w:val="17"/>
                <w:szCs w:val="17"/>
              </w:rPr>
              <w:t xml:space="preserve">$41,070</w:t>
            </w:r>
          </w:p>
        </w:tc>
        <w:tc>
          <w:tcPr>
            <w:tcW w:type="dxa" w:w="1040"/>
            <w:tcMar>
              <w:top w:type="dxa" w:w="50"/>
              <w:left w:type="dxa" w:w="80"/>
              <w:bottom w:type="dxa" w:w="50"/>
              <w:right w:type="dxa" w:w="80"/>
            </w:tcMar>
          </w:tcPr>
          <w:p>
            <w:pPr>
              <w:spacing w:after="0"/>
              <w:jc w:val="right"/>
            </w:pPr>
            <w:r>
              <w:rPr>
                <w:sz w:val="17"/>
                <w:szCs w:val="17"/>
              </w:rPr>
              <w:t xml:space="preserve">$12,321</w:t>
            </w:r>
          </w:p>
        </w:tc>
        <w:tc>
          <w:tcPr>
            <w:tcW w:type="dxa" w:w="1040"/>
            <w:tcMar>
              <w:top w:type="dxa" w:w="50"/>
              <w:left w:type="dxa" w:w="80"/>
              <w:bottom w:type="dxa" w:w="50"/>
              <w:right w:type="dxa" w:w="80"/>
            </w:tcMar>
          </w:tcPr>
          <w:p>
            <w:pPr>
              <w:spacing w:after="0"/>
              <w:jc w:val="right"/>
            </w:pPr>
            <w:r>
              <w:rPr>
                <w:sz w:val="17"/>
                <w:szCs w:val="17"/>
              </w:rPr>
              <w:t xml:space="preserve">$28,749</w:t>
            </w:r>
          </w:p>
        </w:tc>
        <w:tc>
          <w:tcPr>
            <w:tcW w:type="dxa" w:w="1040"/>
            <w:tcMar>
              <w:top w:type="dxa" w:w="50"/>
              <w:left w:type="dxa" w:w="80"/>
              <w:bottom w:type="dxa" w:w="50"/>
              <w:right w:type="dxa" w:w="80"/>
            </w:tcMar>
          </w:tcPr>
          <w:p>
            <w:pPr>
              <w:spacing w:after="0"/>
              <w:jc w:val="right"/>
            </w:pPr>
            <w:r>
              <w:rPr>
                <w:sz w:val="17"/>
                <w:szCs w:val="17"/>
              </w:rPr>
              <w:t xml:space="preserve">$45,470</w:t>
            </w:r>
          </w:p>
        </w:tc>
        <w:tc>
          <w:tcPr>
            <w:tcW w:type="dxa" w:w="1040"/>
            <w:tcMar>
              <w:top w:type="dxa" w:w="50"/>
              <w:left w:type="dxa" w:w="80"/>
              <w:bottom w:type="dxa" w:w="50"/>
              <w:right w:type="dxa" w:w="80"/>
            </w:tcMar>
          </w:tcPr>
          <w:p>
            <w:pPr>
              <w:spacing w:after="0"/>
              <w:jc w:val="right"/>
            </w:pPr>
            <w:r>
              <w:rPr>
                <w:sz w:val="17"/>
                <w:szCs w:val="17"/>
              </w:rPr>
              <w:t xml:space="preserve">$-16,721</w:t>
            </w:r>
          </w:p>
        </w:tc>
        <w:tc>
          <w:tcPr>
            <w:tcW w:type="dxa" w:w="1040"/>
            <w:tcMar>
              <w:top w:type="dxa" w:w="50"/>
              <w:left w:type="dxa" w:w="80"/>
              <w:bottom w:type="dxa" w:w="50"/>
              <w:right w:type="dxa" w:w="80"/>
            </w:tcMar>
          </w:tcPr>
          <w:p>
            <w:pPr>
              <w:spacing w:after="0"/>
              <w:jc w:val="right"/>
            </w:pPr>
            <w:r>
              <w:rPr>
                <w:sz w:val="17"/>
                <w:szCs w:val="17"/>
              </w:rPr>
              <w:t xml:space="preserve">$3,613</w:t>
            </w:r>
          </w:p>
        </w:tc>
        <w:tc>
          <w:tcPr>
            <w:tcW w:type="dxa" w:w="1040"/>
            <w:tcMar>
              <w:top w:type="dxa" w:w="50"/>
              <w:left w:type="dxa" w:w="80"/>
              <w:bottom w:type="dxa" w:w="50"/>
              <w:right w:type="dxa" w:w="80"/>
            </w:tcMar>
          </w:tcPr>
          <w:p>
            <w:pPr>
              <w:spacing w:after="0"/>
              <w:jc w:val="right"/>
            </w:pPr>
            <w:r>
              <w:rPr>
                <w:sz w:val="17"/>
                <w:szCs w:val="17"/>
              </w:rPr>
              <w:t xml:space="preserve">$-20,334</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1,255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$46,435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$13,931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$32,505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$45,470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$-12,966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$3,613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$-16,578</w:t>
            </w:r>
          </w:p>
        </w:tc>
      </w:tr>
      <w:tr>
        <w:tc>
          <w:tcPr>
            <w:tcW w:type="dxa" w:w="1040"/>
            <w:tcMar>
              <w:top w:type="dxa" w:w="50"/>
              <w:left w:type="dxa" w:w="80"/>
              <w:bottom w:type="dxa" w:w="50"/>
              <w:right w:type="dxa" w:w="80"/>
            </w:tcMar>
          </w:tcPr>
          <w:p>
            <w:pPr>
              <w:spacing w:after="0"/>
              <w:jc w:val="left"/>
            </w:pPr>
            <w:r>
              <w:rPr>
                <w:sz w:val="17"/>
                <w:szCs w:val="17"/>
              </w:rPr>
              <w:t xml:space="preserve">3</w:t>
            </w:r>
          </w:p>
        </w:tc>
        <w:tc>
          <w:tcPr>
            <w:tcW w:type="dxa" w:w="1040"/>
            <w:tcMar>
              <w:top w:type="dxa" w:w="50"/>
              <w:left w:type="dxa" w:w="80"/>
              <w:bottom w:type="dxa" w:w="50"/>
              <w:right w:type="dxa" w:w="80"/>
            </w:tcMar>
          </w:tcPr>
          <w:p>
            <w:pPr>
              <w:spacing w:after="0"/>
              <w:jc w:val="right"/>
            </w:pPr>
            <w:r>
              <w:rPr>
                <w:sz w:val="17"/>
                <w:szCs w:val="17"/>
              </w:rPr>
              <w:t xml:space="preserve">1,461</w:t>
            </w:r>
          </w:p>
        </w:tc>
        <w:tc>
          <w:tcPr>
            <w:tcW w:type="dxa" w:w="1040"/>
            <w:tcMar>
              <w:top w:type="dxa" w:w="50"/>
              <w:left w:type="dxa" w:w="80"/>
              <w:bottom w:type="dxa" w:w="50"/>
              <w:right w:type="dxa" w:w="80"/>
            </w:tcMar>
          </w:tcPr>
          <w:p>
            <w:pPr>
              <w:spacing w:after="0"/>
              <w:jc w:val="right"/>
            </w:pPr>
            <w:r>
              <w:rPr>
                <w:sz w:val="17"/>
                <w:szCs w:val="17"/>
              </w:rPr>
              <w:t xml:space="preserve">$54,057</w:t>
            </w:r>
          </w:p>
        </w:tc>
        <w:tc>
          <w:tcPr>
            <w:tcW w:type="dxa" w:w="1040"/>
            <w:tcMar>
              <w:top w:type="dxa" w:w="50"/>
              <w:left w:type="dxa" w:w="80"/>
              <w:bottom w:type="dxa" w:w="50"/>
              <w:right w:type="dxa" w:w="80"/>
            </w:tcMar>
          </w:tcPr>
          <w:p>
            <w:pPr>
              <w:spacing w:after="0"/>
              <w:jc w:val="right"/>
            </w:pPr>
            <w:r>
              <w:rPr>
                <w:sz w:val="17"/>
                <w:szCs w:val="17"/>
              </w:rPr>
              <w:t xml:space="preserve">$16,217</w:t>
            </w:r>
          </w:p>
        </w:tc>
        <w:tc>
          <w:tcPr>
            <w:tcW w:type="dxa" w:w="1040"/>
            <w:tcMar>
              <w:top w:type="dxa" w:w="50"/>
              <w:left w:type="dxa" w:w="80"/>
              <w:bottom w:type="dxa" w:w="50"/>
              <w:right w:type="dxa" w:w="80"/>
            </w:tcMar>
          </w:tcPr>
          <w:p>
            <w:pPr>
              <w:spacing w:after="0"/>
              <w:jc w:val="right"/>
            </w:pPr>
            <w:r>
              <w:rPr>
                <w:sz w:val="17"/>
                <w:szCs w:val="17"/>
              </w:rPr>
              <w:t xml:space="preserve">$37,840</w:t>
            </w:r>
          </w:p>
        </w:tc>
        <w:tc>
          <w:tcPr>
            <w:tcW w:type="dxa" w:w="1040"/>
            <w:tcMar>
              <w:top w:type="dxa" w:w="50"/>
              <w:left w:type="dxa" w:w="80"/>
              <w:bottom w:type="dxa" w:w="50"/>
              <w:right w:type="dxa" w:w="80"/>
            </w:tcMar>
          </w:tcPr>
          <w:p>
            <w:pPr>
              <w:spacing w:after="0"/>
              <w:jc w:val="right"/>
            </w:pPr>
            <w:r>
              <w:rPr>
                <w:sz w:val="17"/>
                <w:szCs w:val="17"/>
              </w:rPr>
              <w:t xml:space="preserve">$45,470</w:t>
            </w:r>
          </w:p>
        </w:tc>
        <w:tc>
          <w:tcPr>
            <w:tcW w:type="dxa" w:w="1040"/>
            <w:tcMar>
              <w:top w:type="dxa" w:w="50"/>
              <w:left w:type="dxa" w:w="80"/>
              <w:bottom w:type="dxa" w:w="50"/>
              <w:right w:type="dxa" w:w="80"/>
            </w:tcMar>
          </w:tcPr>
          <w:p>
            <w:pPr>
              <w:spacing w:after="0"/>
              <w:jc w:val="right"/>
            </w:pPr>
            <w:r>
              <w:rPr>
                <w:sz w:val="17"/>
                <w:szCs w:val="17"/>
              </w:rPr>
              <w:t xml:space="preserve">$-7,630</w:t>
            </w:r>
          </w:p>
        </w:tc>
        <w:tc>
          <w:tcPr>
            <w:tcW w:type="dxa" w:w="1040"/>
            <w:tcMar>
              <w:top w:type="dxa" w:w="50"/>
              <w:left w:type="dxa" w:w="80"/>
              <w:bottom w:type="dxa" w:w="50"/>
              <w:right w:type="dxa" w:w="80"/>
            </w:tcMar>
          </w:tcPr>
          <w:p>
            <w:pPr>
              <w:spacing w:after="0"/>
              <w:jc w:val="right"/>
            </w:pPr>
            <w:r>
              <w:rPr>
                <w:sz w:val="17"/>
                <w:szCs w:val="17"/>
              </w:rPr>
              <w:t xml:space="preserve">$3,613</w:t>
            </w:r>
          </w:p>
        </w:tc>
        <w:tc>
          <w:tcPr>
            <w:tcW w:type="dxa" w:w="1040"/>
            <w:tcMar>
              <w:top w:type="dxa" w:w="50"/>
              <w:left w:type="dxa" w:w="80"/>
              <w:bottom w:type="dxa" w:w="50"/>
              <w:right w:type="dxa" w:w="80"/>
            </w:tcMar>
          </w:tcPr>
          <w:p>
            <w:pPr>
              <w:spacing w:after="0"/>
              <w:jc w:val="right"/>
            </w:pPr>
            <w:r>
              <w:rPr>
                <w:sz w:val="17"/>
                <w:szCs w:val="17"/>
              </w:rPr>
              <w:t xml:space="preserve">$-11,243</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1,715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$63,455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$19,037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$44,419</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$45,470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$-1,052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$3,613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$-4,664</w:t>
            </w:r>
          </w:p>
        </w:tc>
      </w:tr>
      <w:tr>
        <w:tc>
          <w:tcPr>
            <w:tcW w:type="dxa" w:w="1040"/>
            <w:tcMar>
              <w:top w:type="dxa" w:w="50"/>
              <w:left w:type="dxa" w:w="80"/>
              <w:bottom w:type="dxa" w:w="50"/>
              <w:right w:type="dxa" w:w="80"/>
            </w:tcMar>
          </w:tcPr>
          <w:p>
            <w:pPr>
              <w:spacing w:after="0"/>
              <w:jc w:val="left"/>
            </w:pPr>
            <w:r>
              <w:rPr>
                <w:sz w:val="17"/>
                <w:szCs w:val="17"/>
              </w:rPr>
              <w:t xml:space="preserve">5</w:t>
            </w:r>
          </w:p>
        </w:tc>
        <w:tc>
          <w:tcPr>
            <w:tcW w:type="dxa" w:w="1040"/>
            <w:tcMar>
              <w:top w:type="dxa" w:w="50"/>
              <w:left w:type="dxa" w:w="80"/>
              <w:bottom w:type="dxa" w:w="50"/>
              <w:right w:type="dxa" w:w="80"/>
            </w:tcMar>
          </w:tcPr>
          <w:p>
            <w:pPr>
              <w:spacing w:after="0"/>
              <w:jc w:val="right"/>
            </w:pPr>
            <w:r>
              <w:rPr>
                <w:sz w:val="17"/>
                <w:szCs w:val="17"/>
              </w:rPr>
              <w:t xml:space="preserve">1,990</w:t>
            </w:r>
          </w:p>
        </w:tc>
        <w:tc>
          <w:tcPr>
            <w:tcW w:type="dxa" w:w="1040"/>
            <w:tcMar>
              <w:top w:type="dxa" w:w="50"/>
              <w:left w:type="dxa" w:w="80"/>
              <w:bottom w:type="dxa" w:w="50"/>
              <w:right w:type="dxa" w:w="80"/>
            </w:tcMar>
          </w:tcPr>
          <w:p>
            <w:pPr>
              <w:spacing w:after="0"/>
              <w:jc w:val="right"/>
            </w:pPr>
            <w:r>
              <w:rPr>
                <w:sz w:val="17"/>
                <w:szCs w:val="17"/>
              </w:rPr>
              <w:t xml:space="preserve">$73,630</w:t>
            </w:r>
          </w:p>
        </w:tc>
        <w:tc>
          <w:tcPr>
            <w:tcW w:type="dxa" w:w="1040"/>
            <w:tcMar>
              <w:top w:type="dxa" w:w="50"/>
              <w:left w:type="dxa" w:w="80"/>
              <w:bottom w:type="dxa" w:w="50"/>
              <w:right w:type="dxa" w:w="80"/>
            </w:tcMar>
          </w:tcPr>
          <w:p>
            <w:pPr>
              <w:spacing w:after="0"/>
              <w:jc w:val="right"/>
            </w:pPr>
            <w:r>
              <w:rPr>
                <w:sz w:val="17"/>
                <w:szCs w:val="17"/>
              </w:rPr>
              <w:t xml:space="preserve">$22,089</w:t>
            </w:r>
          </w:p>
        </w:tc>
        <w:tc>
          <w:tcPr>
            <w:tcW w:type="dxa" w:w="1040"/>
            <w:tcMar>
              <w:top w:type="dxa" w:w="50"/>
              <w:left w:type="dxa" w:w="80"/>
              <w:bottom w:type="dxa" w:w="50"/>
              <w:right w:type="dxa" w:w="80"/>
            </w:tcMar>
          </w:tcPr>
          <w:p>
            <w:pPr>
              <w:spacing w:after="0"/>
              <w:jc w:val="right"/>
            </w:pPr>
            <w:r>
              <w:rPr>
                <w:sz w:val="17"/>
                <w:szCs w:val="17"/>
              </w:rPr>
              <w:t xml:space="preserve">$51,541</w:t>
            </w:r>
          </w:p>
        </w:tc>
        <w:tc>
          <w:tcPr>
            <w:tcW w:type="dxa" w:w="1040"/>
            <w:tcMar>
              <w:top w:type="dxa" w:w="50"/>
              <w:left w:type="dxa" w:w="80"/>
              <w:bottom w:type="dxa" w:w="50"/>
              <w:right w:type="dxa" w:w="80"/>
            </w:tcMar>
          </w:tcPr>
          <w:p>
            <w:pPr>
              <w:spacing w:after="0"/>
              <w:jc w:val="right"/>
            </w:pPr>
            <w:r>
              <w:rPr>
                <w:sz w:val="17"/>
                <w:szCs w:val="17"/>
              </w:rPr>
              <w:t xml:space="preserve">$45,470</w:t>
            </w:r>
          </w:p>
        </w:tc>
        <w:tc>
          <w:tcPr>
            <w:tcW w:type="dxa" w:w="1040"/>
            <w:tcMar>
              <w:top w:type="dxa" w:w="50"/>
              <w:left w:type="dxa" w:w="80"/>
              <w:bottom w:type="dxa" w:w="50"/>
              <w:right w:type="dxa" w:w="80"/>
            </w:tcMar>
          </w:tcPr>
          <w:p>
            <w:pPr>
              <w:spacing w:after="0"/>
              <w:jc w:val="right"/>
            </w:pPr>
            <w:r>
              <w:rPr>
                <w:sz w:val="17"/>
                <w:szCs w:val="17"/>
              </w:rPr>
              <w:t xml:space="preserve">$6,071</w:t>
            </w:r>
          </w:p>
        </w:tc>
        <w:tc>
          <w:tcPr>
            <w:tcW w:type="dxa" w:w="1040"/>
            <w:tcMar>
              <w:top w:type="dxa" w:w="50"/>
              <w:left w:type="dxa" w:w="80"/>
              <w:bottom w:type="dxa" w:w="50"/>
              <w:right w:type="dxa" w:w="80"/>
            </w:tcMar>
          </w:tcPr>
          <w:p>
            <w:pPr>
              <w:spacing w:after="0"/>
              <w:jc w:val="right"/>
            </w:pPr>
            <w:r>
              <w:rPr>
                <w:sz w:val="17"/>
                <w:szCs w:val="17"/>
              </w:rPr>
              <w:t xml:space="preserve">$3,613</w:t>
            </w:r>
          </w:p>
        </w:tc>
        <w:tc>
          <w:tcPr>
            <w:tcW w:type="dxa" w:w="1040"/>
            <w:tcMar>
              <w:top w:type="dxa" w:w="50"/>
              <w:left w:type="dxa" w:w="80"/>
              <w:bottom w:type="dxa" w:w="50"/>
              <w:right w:type="dxa" w:w="80"/>
            </w:tcMar>
          </w:tcPr>
          <w:p>
            <w:pPr>
              <w:spacing w:after="0"/>
              <w:jc w:val="right"/>
            </w:pPr>
            <w:r>
              <w:rPr>
                <w:sz w:val="17"/>
                <w:szCs w:val="17"/>
              </w:rPr>
              <w:t xml:space="preserve">$2,458</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2,246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$83,102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$24,931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$58,171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$45,470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$12,701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$3,613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$9,088</w:t>
            </w:r>
          </w:p>
        </w:tc>
      </w:tr>
      <w:tr>
        <w:tc>
          <w:tcPr>
            <w:tcW w:type="dxa" w:w="1040"/>
            <w:tcMar>
              <w:top w:type="dxa" w:w="50"/>
              <w:left w:type="dxa" w:w="80"/>
              <w:bottom w:type="dxa" w:w="50"/>
              <w:right w:type="dxa" w:w="80"/>
            </w:tcMar>
          </w:tcPr>
          <w:p>
            <w:pPr>
              <w:spacing w:after="0"/>
              <w:jc w:val="left"/>
            </w:pPr>
            <w:r>
              <w:rPr>
                <w:sz w:val="17"/>
                <w:szCs w:val="17"/>
              </w:rPr>
              <w:t xml:space="preserve">7</w:t>
            </w:r>
          </w:p>
        </w:tc>
        <w:tc>
          <w:tcPr>
            <w:tcW w:type="dxa" w:w="1040"/>
            <w:tcMar>
              <w:top w:type="dxa" w:w="50"/>
              <w:left w:type="dxa" w:w="80"/>
              <w:bottom w:type="dxa" w:w="50"/>
              <w:right w:type="dxa" w:w="80"/>
            </w:tcMar>
          </w:tcPr>
          <w:p>
            <w:pPr>
              <w:spacing w:after="0"/>
              <w:jc w:val="right"/>
            </w:pPr>
            <w:r>
              <w:rPr>
                <w:sz w:val="17"/>
                <w:szCs w:val="17"/>
              </w:rPr>
              <w:t xml:space="preserve">2,443</w:t>
            </w:r>
          </w:p>
        </w:tc>
        <w:tc>
          <w:tcPr>
            <w:tcW w:type="dxa" w:w="1040"/>
            <w:tcMar>
              <w:top w:type="dxa" w:w="50"/>
              <w:left w:type="dxa" w:w="80"/>
              <w:bottom w:type="dxa" w:w="50"/>
              <w:right w:type="dxa" w:w="80"/>
            </w:tcMar>
          </w:tcPr>
          <w:p>
            <w:pPr>
              <w:spacing w:after="0"/>
              <w:jc w:val="right"/>
            </w:pPr>
            <w:r>
              <w:rPr>
                <w:sz w:val="17"/>
                <w:szCs w:val="17"/>
              </w:rPr>
              <w:t xml:space="preserve">$90,391</w:t>
            </w:r>
          </w:p>
        </w:tc>
        <w:tc>
          <w:tcPr>
            <w:tcW w:type="dxa" w:w="1040"/>
            <w:tcMar>
              <w:top w:type="dxa" w:w="50"/>
              <w:left w:type="dxa" w:w="80"/>
              <w:bottom w:type="dxa" w:w="50"/>
              <w:right w:type="dxa" w:w="80"/>
            </w:tcMar>
          </w:tcPr>
          <w:p>
            <w:pPr>
              <w:spacing w:after="0"/>
              <w:jc w:val="right"/>
            </w:pPr>
            <w:r>
              <w:rPr>
                <w:sz w:val="17"/>
                <w:szCs w:val="17"/>
              </w:rPr>
              <w:t xml:space="preserve">$27,117</w:t>
            </w:r>
          </w:p>
        </w:tc>
        <w:tc>
          <w:tcPr>
            <w:tcW w:type="dxa" w:w="1040"/>
            <w:tcMar>
              <w:top w:type="dxa" w:w="50"/>
              <w:left w:type="dxa" w:w="80"/>
              <w:bottom w:type="dxa" w:w="50"/>
              <w:right w:type="dxa" w:w="80"/>
            </w:tcMar>
          </w:tcPr>
          <w:p>
            <w:pPr>
              <w:spacing w:after="0"/>
              <w:jc w:val="right"/>
            </w:pPr>
            <w:r>
              <w:rPr>
                <w:sz w:val="17"/>
                <w:szCs w:val="17"/>
              </w:rPr>
              <w:t xml:space="preserve">$63,274</w:t>
            </w:r>
          </w:p>
        </w:tc>
        <w:tc>
          <w:tcPr>
            <w:tcW w:type="dxa" w:w="1040"/>
            <w:tcMar>
              <w:top w:type="dxa" w:w="50"/>
              <w:left w:type="dxa" w:w="80"/>
              <w:bottom w:type="dxa" w:w="50"/>
              <w:right w:type="dxa" w:w="80"/>
            </w:tcMar>
          </w:tcPr>
          <w:p>
            <w:pPr>
              <w:spacing w:after="0"/>
              <w:jc w:val="right"/>
            </w:pPr>
            <w:r>
              <w:rPr>
                <w:sz w:val="17"/>
                <w:szCs w:val="17"/>
              </w:rPr>
              <w:t xml:space="preserve">$45,470</w:t>
            </w:r>
          </w:p>
        </w:tc>
        <w:tc>
          <w:tcPr>
            <w:tcW w:type="dxa" w:w="1040"/>
            <w:tcMar>
              <w:top w:type="dxa" w:w="50"/>
              <w:left w:type="dxa" w:w="80"/>
              <w:bottom w:type="dxa" w:w="50"/>
              <w:right w:type="dxa" w:w="80"/>
            </w:tcMar>
          </w:tcPr>
          <w:p>
            <w:pPr>
              <w:spacing w:after="0"/>
              <w:jc w:val="right"/>
            </w:pPr>
            <w:r>
              <w:rPr>
                <w:sz w:val="17"/>
                <w:szCs w:val="17"/>
              </w:rPr>
              <w:t xml:space="preserve">$17,804</w:t>
            </w:r>
          </w:p>
        </w:tc>
        <w:tc>
          <w:tcPr>
            <w:tcW w:type="dxa" w:w="1040"/>
            <w:tcMar>
              <w:top w:type="dxa" w:w="50"/>
              <w:left w:type="dxa" w:w="80"/>
              <w:bottom w:type="dxa" w:w="50"/>
              <w:right w:type="dxa" w:w="80"/>
            </w:tcMar>
          </w:tcPr>
          <w:p>
            <w:pPr>
              <w:spacing w:after="0"/>
              <w:jc w:val="right"/>
            </w:pPr>
            <w:r>
              <w:rPr>
                <w:sz w:val="17"/>
                <w:szCs w:val="17"/>
              </w:rPr>
              <w:t xml:space="preserve">$3,613</w:t>
            </w:r>
          </w:p>
        </w:tc>
        <w:tc>
          <w:tcPr>
            <w:tcW w:type="dxa" w:w="1040"/>
            <w:tcMar>
              <w:top w:type="dxa" w:w="50"/>
              <w:left w:type="dxa" w:w="80"/>
              <w:bottom w:type="dxa" w:w="50"/>
              <w:right w:type="dxa" w:w="80"/>
            </w:tcMar>
          </w:tcPr>
          <w:p>
            <w:pPr>
              <w:spacing w:after="0"/>
              <w:jc w:val="right"/>
            </w:pPr>
            <w:r>
              <w:rPr>
                <w:sz w:val="17"/>
                <w:szCs w:val="17"/>
              </w:rPr>
              <w:t xml:space="preserve">$14,191</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2,555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$94,535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$28,361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$66,175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$45,470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$20,705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$3,613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$17,092</w:t>
            </w:r>
          </w:p>
        </w:tc>
      </w:tr>
      <w:tr>
        <w:tc>
          <w:tcPr>
            <w:tcW w:type="dxa" w:w="1040"/>
            <w:tcMar>
              <w:top w:type="dxa" w:w="50"/>
              <w:left w:type="dxa" w:w="80"/>
              <w:bottom w:type="dxa" w:w="50"/>
              <w:right w:type="dxa" w:w="80"/>
            </w:tcMar>
          </w:tcPr>
          <w:p>
            <w:pPr>
              <w:spacing w:after="0"/>
              <w:jc w:val="left"/>
            </w:pPr>
            <w:r>
              <w:rPr>
                <w:sz w:val="17"/>
                <w:szCs w:val="17"/>
              </w:rPr>
              <w:t xml:space="preserve">9</w:t>
            </w:r>
          </w:p>
        </w:tc>
        <w:tc>
          <w:tcPr>
            <w:tcW w:type="dxa" w:w="1040"/>
            <w:tcMar>
              <w:top w:type="dxa" w:w="50"/>
              <w:left w:type="dxa" w:w="80"/>
              <w:bottom w:type="dxa" w:w="50"/>
              <w:right w:type="dxa" w:w="80"/>
            </w:tcMar>
          </w:tcPr>
          <w:p>
            <w:pPr>
              <w:spacing w:after="0"/>
              <w:jc w:val="right"/>
            </w:pPr>
            <w:r>
              <w:rPr>
                <w:sz w:val="17"/>
                <w:szCs w:val="17"/>
              </w:rPr>
              <w:t xml:space="preserve">2,431</w:t>
            </w:r>
          </w:p>
        </w:tc>
        <w:tc>
          <w:tcPr>
            <w:tcW w:type="dxa" w:w="1040"/>
            <w:tcMar>
              <w:top w:type="dxa" w:w="50"/>
              <w:left w:type="dxa" w:w="80"/>
              <w:bottom w:type="dxa" w:w="50"/>
              <w:right w:type="dxa" w:w="80"/>
            </w:tcMar>
          </w:tcPr>
          <w:p>
            <w:pPr>
              <w:spacing w:after="0"/>
              <w:jc w:val="right"/>
            </w:pPr>
            <w:r>
              <w:rPr>
                <w:sz w:val="17"/>
                <w:szCs w:val="17"/>
              </w:rPr>
              <w:t xml:space="preserve">$89,947</w:t>
            </w:r>
          </w:p>
        </w:tc>
        <w:tc>
          <w:tcPr>
            <w:tcW w:type="dxa" w:w="1040"/>
            <w:tcMar>
              <w:top w:type="dxa" w:w="50"/>
              <w:left w:type="dxa" w:w="80"/>
              <w:bottom w:type="dxa" w:w="50"/>
              <w:right w:type="dxa" w:w="80"/>
            </w:tcMar>
          </w:tcPr>
          <w:p>
            <w:pPr>
              <w:spacing w:after="0"/>
              <w:jc w:val="right"/>
            </w:pPr>
            <w:r>
              <w:rPr>
                <w:sz w:val="17"/>
                <w:szCs w:val="17"/>
              </w:rPr>
              <w:t xml:space="preserve">$26,984</w:t>
            </w:r>
          </w:p>
        </w:tc>
        <w:tc>
          <w:tcPr>
            <w:tcW w:type="dxa" w:w="1040"/>
            <w:tcMar>
              <w:top w:type="dxa" w:w="50"/>
              <w:left w:type="dxa" w:w="80"/>
              <w:bottom w:type="dxa" w:w="50"/>
              <w:right w:type="dxa" w:w="80"/>
            </w:tcMar>
          </w:tcPr>
          <w:p>
            <w:pPr>
              <w:spacing w:after="0"/>
              <w:jc w:val="right"/>
            </w:pPr>
            <w:r>
              <w:rPr>
                <w:sz w:val="17"/>
                <w:szCs w:val="17"/>
              </w:rPr>
              <w:t xml:space="preserve">$62,963</w:t>
            </w:r>
          </w:p>
        </w:tc>
        <w:tc>
          <w:tcPr>
            <w:tcW w:type="dxa" w:w="1040"/>
            <w:tcMar>
              <w:top w:type="dxa" w:w="50"/>
              <w:left w:type="dxa" w:w="80"/>
              <w:bottom w:type="dxa" w:w="50"/>
              <w:right w:type="dxa" w:w="80"/>
            </w:tcMar>
          </w:tcPr>
          <w:p>
            <w:pPr>
              <w:spacing w:after="0"/>
              <w:jc w:val="right"/>
            </w:pPr>
            <w:r>
              <w:rPr>
                <w:sz w:val="17"/>
                <w:szCs w:val="17"/>
              </w:rPr>
              <w:t xml:space="preserve">$45,470</w:t>
            </w:r>
          </w:p>
        </w:tc>
        <w:tc>
          <w:tcPr>
            <w:tcW w:type="dxa" w:w="1040"/>
            <w:tcMar>
              <w:top w:type="dxa" w:w="50"/>
              <w:left w:type="dxa" w:w="80"/>
              <w:bottom w:type="dxa" w:w="50"/>
              <w:right w:type="dxa" w:w="80"/>
            </w:tcMar>
          </w:tcPr>
          <w:p>
            <w:pPr>
              <w:spacing w:after="0"/>
              <w:jc w:val="right"/>
            </w:pPr>
            <w:r>
              <w:rPr>
                <w:sz w:val="17"/>
                <w:szCs w:val="17"/>
              </w:rPr>
              <w:t xml:space="preserve">$17,493</w:t>
            </w:r>
          </w:p>
        </w:tc>
        <w:tc>
          <w:tcPr>
            <w:tcW w:type="dxa" w:w="1040"/>
            <w:tcMar>
              <w:top w:type="dxa" w:w="50"/>
              <w:left w:type="dxa" w:w="80"/>
              <w:bottom w:type="dxa" w:w="50"/>
              <w:right w:type="dxa" w:w="80"/>
            </w:tcMar>
          </w:tcPr>
          <w:p>
            <w:pPr>
              <w:spacing w:after="0"/>
              <w:jc w:val="right"/>
            </w:pPr>
            <w:r>
              <w:rPr>
                <w:sz w:val="17"/>
                <w:szCs w:val="17"/>
              </w:rPr>
              <w:t xml:space="preserve">$3,613</w:t>
            </w:r>
          </w:p>
        </w:tc>
        <w:tc>
          <w:tcPr>
            <w:tcW w:type="dxa" w:w="1040"/>
            <w:tcMar>
              <w:top w:type="dxa" w:w="50"/>
              <w:left w:type="dxa" w:w="80"/>
              <w:bottom w:type="dxa" w:w="50"/>
              <w:right w:type="dxa" w:w="80"/>
            </w:tcMar>
          </w:tcPr>
          <w:p>
            <w:pPr>
              <w:spacing w:after="0"/>
              <w:jc w:val="right"/>
            </w:pPr>
            <w:r>
              <w:rPr>
                <w:sz w:val="17"/>
                <w:szCs w:val="17"/>
              </w:rPr>
              <w:t xml:space="preserve">$13,880</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10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2,262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$83,694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$25,108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$58,586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$45,470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$13,116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$3,613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$9,503</w:t>
            </w:r>
          </w:p>
        </w:tc>
      </w:tr>
      <w:tr>
        <w:tc>
          <w:tcPr>
            <w:tcW w:type="dxa" w:w="1040"/>
            <w:tcMar>
              <w:top w:type="dxa" w:w="50"/>
              <w:left w:type="dxa" w:w="80"/>
              <w:bottom w:type="dxa" w:w="50"/>
              <w:right w:type="dxa" w:w="80"/>
            </w:tcMar>
          </w:tcPr>
          <w:p>
            <w:pPr>
              <w:spacing w:after="0"/>
              <w:jc w:val="left"/>
            </w:pPr>
            <w:r>
              <w:rPr>
                <w:sz w:val="17"/>
                <w:szCs w:val="17"/>
              </w:rPr>
              <w:t xml:space="preserve">11</w:t>
            </w:r>
          </w:p>
        </w:tc>
        <w:tc>
          <w:tcPr>
            <w:tcW w:type="dxa" w:w="1040"/>
            <w:tcMar>
              <w:top w:type="dxa" w:w="50"/>
              <w:left w:type="dxa" w:w="80"/>
              <w:bottom w:type="dxa" w:w="50"/>
              <w:right w:type="dxa" w:w="80"/>
            </w:tcMar>
          </w:tcPr>
          <w:p>
            <w:pPr>
              <w:spacing w:after="0"/>
              <w:jc w:val="right"/>
            </w:pPr>
            <w:r>
              <w:rPr>
                <w:sz w:val="17"/>
                <w:szCs w:val="17"/>
              </w:rPr>
              <w:t xml:space="preserve">2,093</w:t>
            </w:r>
          </w:p>
        </w:tc>
        <w:tc>
          <w:tcPr>
            <w:tcW w:type="dxa" w:w="1040"/>
            <w:tcMar>
              <w:top w:type="dxa" w:w="50"/>
              <w:left w:type="dxa" w:w="80"/>
              <w:bottom w:type="dxa" w:w="50"/>
              <w:right w:type="dxa" w:w="80"/>
            </w:tcMar>
          </w:tcPr>
          <w:p>
            <w:pPr>
              <w:spacing w:after="0"/>
              <w:jc w:val="right"/>
            </w:pPr>
            <w:r>
              <w:rPr>
                <w:sz w:val="17"/>
                <w:szCs w:val="17"/>
              </w:rPr>
              <w:t xml:space="preserve">$77,441</w:t>
            </w:r>
          </w:p>
        </w:tc>
        <w:tc>
          <w:tcPr>
            <w:tcW w:type="dxa" w:w="1040"/>
            <w:tcMar>
              <w:top w:type="dxa" w:w="50"/>
              <w:left w:type="dxa" w:w="80"/>
              <w:bottom w:type="dxa" w:w="50"/>
              <w:right w:type="dxa" w:w="80"/>
            </w:tcMar>
          </w:tcPr>
          <w:p>
            <w:pPr>
              <w:spacing w:after="0"/>
              <w:jc w:val="right"/>
            </w:pPr>
            <w:r>
              <w:rPr>
                <w:sz w:val="17"/>
                <w:szCs w:val="17"/>
              </w:rPr>
              <w:t xml:space="preserve">$23,232</w:t>
            </w:r>
          </w:p>
        </w:tc>
        <w:tc>
          <w:tcPr>
            <w:tcW w:type="dxa" w:w="1040"/>
            <w:tcMar>
              <w:top w:type="dxa" w:w="50"/>
              <w:left w:type="dxa" w:w="80"/>
              <w:bottom w:type="dxa" w:w="50"/>
              <w:right w:type="dxa" w:w="80"/>
            </w:tcMar>
          </w:tcPr>
          <w:p>
            <w:pPr>
              <w:spacing w:after="0"/>
              <w:jc w:val="right"/>
            </w:pPr>
            <w:r>
              <w:rPr>
                <w:sz w:val="17"/>
                <w:szCs w:val="17"/>
              </w:rPr>
              <w:t xml:space="preserve">$54,209</w:t>
            </w:r>
          </w:p>
        </w:tc>
        <w:tc>
          <w:tcPr>
            <w:tcW w:type="dxa" w:w="1040"/>
            <w:tcMar>
              <w:top w:type="dxa" w:w="50"/>
              <w:left w:type="dxa" w:w="80"/>
              <w:bottom w:type="dxa" w:w="50"/>
              <w:right w:type="dxa" w:w="80"/>
            </w:tcMar>
          </w:tcPr>
          <w:p>
            <w:pPr>
              <w:spacing w:after="0"/>
              <w:jc w:val="right"/>
            </w:pPr>
            <w:r>
              <w:rPr>
                <w:sz w:val="17"/>
                <w:szCs w:val="17"/>
              </w:rPr>
              <w:t xml:space="preserve">$45,470</w:t>
            </w:r>
          </w:p>
        </w:tc>
        <w:tc>
          <w:tcPr>
            <w:tcW w:type="dxa" w:w="1040"/>
            <w:tcMar>
              <w:top w:type="dxa" w:w="50"/>
              <w:left w:type="dxa" w:w="80"/>
              <w:bottom w:type="dxa" w:w="50"/>
              <w:right w:type="dxa" w:w="80"/>
            </w:tcMar>
          </w:tcPr>
          <w:p>
            <w:pPr>
              <w:spacing w:after="0"/>
              <w:jc w:val="right"/>
            </w:pPr>
            <w:r>
              <w:rPr>
                <w:sz w:val="17"/>
                <w:szCs w:val="17"/>
              </w:rPr>
              <w:t xml:space="preserve">$8,739</w:t>
            </w:r>
          </w:p>
        </w:tc>
        <w:tc>
          <w:tcPr>
            <w:tcW w:type="dxa" w:w="1040"/>
            <w:tcMar>
              <w:top w:type="dxa" w:w="50"/>
              <w:left w:type="dxa" w:w="80"/>
              <w:bottom w:type="dxa" w:w="50"/>
              <w:right w:type="dxa" w:w="80"/>
            </w:tcMar>
          </w:tcPr>
          <w:p>
            <w:pPr>
              <w:spacing w:after="0"/>
              <w:jc w:val="right"/>
            </w:pPr>
            <w:r>
              <w:rPr>
                <w:sz w:val="17"/>
                <w:szCs w:val="17"/>
              </w:rPr>
              <w:t xml:space="preserve">$3,613</w:t>
            </w:r>
          </w:p>
        </w:tc>
        <w:tc>
          <w:tcPr>
            <w:tcW w:type="dxa" w:w="1040"/>
            <w:tcMar>
              <w:top w:type="dxa" w:w="50"/>
              <w:left w:type="dxa" w:w="80"/>
              <w:bottom w:type="dxa" w:w="50"/>
              <w:right w:type="dxa" w:w="80"/>
            </w:tcMar>
          </w:tcPr>
          <w:p>
            <w:pPr>
              <w:spacing w:after="0"/>
              <w:jc w:val="right"/>
            </w:pPr>
            <w:r>
              <w:rPr>
                <w:sz w:val="17"/>
                <w:szCs w:val="17"/>
              </w:rPr>
              <w:t xml:space="preserve">$5,126</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1,969</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$72,853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$21,856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$50,997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$45,470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$5,527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$3,613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$1,914</w:t>
            </w:r>
          </w:p>
        </w:tc>
      </w:tr>
      <w:tr>
        <w:tc>
          <w:tcPr>
            <w:tcW w:type="dxa" w:w="1040"/>
            <w:tcMar>
              <w:top w:type="dxa" w:w="50"/>
              <w:left w:type="dxa" w:w="80"/>
              <w:bottom w:type="dxa" w:w="50"/>
              <w:right w:type="dxa" w:w="80"/>
            </w:tcMar>
          </w:tcPr>
          <w:p>
            <w:pPr>
              <w:spacing w:after="0"/>
              <w:jc w:val="left"/>
            </w:pPr>
            <w:r>
              <w:rPr>
                <w:b/>
                <w:bCs/>
                <w:sz w:val="17"/>
                <w:szCs w:val="17"/>
              </w:rPr>
              <w:t xml:space="preserve">Year 1</w:t>
            </w:r>
          </w:p>
        </w:tc>
        <w:tc>
          <w:tcPr>
            <w:tcW w:type="dxa" w:w="1040"/>
            <w:tcMar>
              <w:top w:type="dxa" w:w="50"/>
              <w:left w:type="dxa" w:w="80"/>
              <w:bottom w:type="dxa" w:w="50"/>
              <w:right w:type="dxa" w:w="80"/>
            </w:tcMar>
          </w:tcPr>
          <w:p>
            <w:pPr>
              <w:spacing w:after="0"/>
              <w:jc w:val="right"/>
            </w:pPr>
            <w:r>
              <w:rPr>
                <w:b/>
                <w:bCs/>
                <w:sz w:val="17"/>
                <w:szCs w:val="17"/>
              </w:rPr>
              <w:t xml:space="preserve">23,530</w:t>
            </w:r>
          </w:p>
        </w:tc>
        <w:tc>
          <w:tcPr>
            <w:tcW w:type="dxa" w:w="1040"/>
            <w:tcMar>
              <w:top w:type="dxa" w:w="50"/>
              <w:left w:type="dxa" w:w="80"/>
              <w:bottom w:type="dxa" w:w="50"/>
              <w:right w:type="dxa" w:w="80"/>
            </w:tcMar>
          </w:tcPr>
          <w:p>
            <w:pPr>
              <w:spacing w:after="0"/>
              <w:jc w:val="right"/>
            </w:pPr>
            <w:r>
              <w:rPr>
                <w:b/>
                <w:bCs/>
                <w:sz w:val="17"/>
                <w:szCs w:val="17"/>
              </w:rPr>
              <w:t xml:space="preserve">$870,610</w:t>
            </w:r>
          </w:p>
        </w:tc>
        <w:tc>
          <w:tcPr>
            <w:tcW w:type="dxa" w:w="1040"/>
            <w:tcMar>
              <w:top w:type="dxa" w:w="50"/>
              <w:left w:type="dxa" w:w="80"/>
              <w:bottom w:type="dxa" w:w="50"/>
              <w:right w:type="dxa" w:w="80"/>
            </w:tcMar>
          </w:tcPr>
          <w:p>
            <w:pPr>
              <w:spacing w:after="0"/>
              <w:jc w:val="right"/>
            </w:pPr>
            <w:r>
              <w:rPr>
                <w:b/>
                <w:bCs/>
                <w:sz w:val="17"/>
                <w:szCs w:val="17"/>
              </w:rPr>
              <w:t xml:space="preserve">$261,183</w:t>
            </w:r>
          </w:p>
        </w:tc>
        <w:tc>
          <w:tcPr>
            <w:tcW w:type="dxa" w:w="1040"/>
            <w:tcMar>
              <w:top w:type="dxa" w:w="50"/>
              <w:left w:type="dxa" w:w="80"/>
              <w:bottom w:type="dxa" w:w="50"/>
              <w:right w:type="dxa" w:w="80"/>
            </w:tcMar>
          </w:tcPr>
          <w:p>
            <w:pPr>
              <w:spacing w:after="0"/>
              <w:jc w:val="right"/>
            </w:pPr>
            <w:r>
              <w:rPr>
                <w:b/>
                <w:bCs/>
                <w:sz w:val="17"/>
                <w:szCs w:val="17"/>
              </w:rPr>
              <w:t xml:space="preserve">$609,427</w:t>
            </w:r>
          </w:p>
        </w:tc>
        <w:tc>
          <w:tcPr>
            <w:tcW w:type="dxa" w:w="1040"/>
            <w:tcMar>
              <w:top w:type="dxa" w:w="50"/>
              <w:left w:type="dxa" w:w="80"/>
              <w:bottom w:type="dxa" w:w="50"/>
              <w:right w:type="dxa" w:w="80"/>
            </w:tcMar>
          </w:tcPr>
          <w:p>
            <w:pPr>
              <w:spacing w:after="0"/>
              <w:jc w:val="right"/>
            </w:pPr>
            <w:r>
              <w:rPr>
                <w:b/>
                <w:bCs/>
                <w:sz w:val="17"/>
                <w:szCs w:val="17"/>
              </w:rPr>
              <w:t xml:space="preserve">$545,640</w:t>
            </w:r>
          </w:p>
        </w:tc>
        <w:tc>
          <w:tcPr>
            <w:tcW w:type="dxa" w:w="1040"/>
            <w:tcMar>
              <w:top w:type="dxa" w:w="50"/>
              <w:left w:type="dxa" w:w="80"/>
              <w:bottom w:type="dxa" w:w="50"/>
              <w:right w:type="dxa" w:w="80"/>
            </w:tcMar>
          </w:tcPr>
          <w:p>
            <w:pPr>
              <w:spacing w:after="0"/>
              <w:jc w:val="right"/>
            </w:pPr>
            <w:r>
              <w:rPr>
                <w:b/>
                <w:bCs/>
                <w:sz w:val="17"/>
                <w:szCs w:val="17"/>
              </w:rPr>
              <w:t xml:space="preserve">$63,787</w:t>
            </w:r>
          </w:p>
        </w:tc>
        <w:tc>
          <w:tcPr>
            <w:tcW w:type="dxa" w:w="1040"/>
            <w:tcMar>
              <w:top w:type="dxa" w:w="50"/>
              <w:left w:type="dxa" w:w="80"/>
              <w:bottom w:type="dxa" w:w="50"/>
              <w:right w:type="dxa" w:w="80"/>
            </w:tcMar>
          </w:tcPr>
          <w:p>
            <w:pPr>
              <w:spacing w:after="0"/>
              <w:jc w:val="right"/>
            </w:pPr>
            <w:r>
              <w:rPr>
                <w:b/>
                <w:bCs/>
                <w:sz w:val="17"/>
                <w:szCs w:val="17"/>
              </w:rPr>
              <w:t xml:space="preserve">$43,356</w:t>
            </w:r>
          </w:p>
        </w:tc>
        <w:tc>
          <w:tcPr>
            <w:tcW w:type="dxa" w:w="1040"/>
            <w:tcMar>
              <w:top w:type="dxa" w:w="50"/>
              <w:left w:type="dxa" w:w="80"/>
              <w:bottom w:type="dxa" w:w="50"/>
              <w:right w:type="dxa" w:w="80"/>
            </w:tcMar>
          </w:tcPr>
          <w:p>
            <w:pPr>
              <w:spacing w:after="0"/>
              <w:jc w:val="right"/>
            </w:pPr>
            <w:r>
              <w:rPr>
                <w:b/>
                <w:bCs/>
                <w:sz w:val="17"/>
                <w:szCs w:val="17"/>
              </w:rPr>
              <w:t xml:space="preserve">$20,431</w:t>
            </w:r>
          </w:p>
        </w:tc>
      </w:tr>
    </w:tbl>
    <w:p>
      <w:pPr>
        <w:spacing w:after="140"/>
      </w:pPr>
      <w:r>
        <w:t xml:space="preserve"/>
      </w:r>
    </w:p>
    <w:p>
      <w:pPr>
        <w:spacing w:after="90"/>
      </w:pPr>
      <w:r>
        <w:t xml:space="preserve"/>
      </w:r>
    </w:p>
    <w:p>
      <w:pPr>
        <w:pStyle w:val="Heading2"/>
        <w:spacing w:after="110" w:before="240"/>
      </w:pPr>
      <w:r>
        <w:t xml:space="preserve">Cash Flow —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Month</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Opening cash</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Net movement</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Closing cash</w:t>
            </w:r>
          </w:p>
        </w:tc>
      </w:tr>
      <w:tr>
        <w:tc>
          <w:tcPr>
            <w:tcW w:type="dxa" w:w="2340"/>
            <w:tcMar>
              <w:top w:type="dxa" w:w="50"/>
              <w:left w:type="dxa" w:w="80"/>
              <w:bottom w:type="dxa" w:w="50"/>
              <w:right w:type="dxa" w:w="80"/>
            </w:tcMar>
          </w:tcPr>
          <w:p>
            <w:pPr>
              <w:spacing w:after="0"/>
              <w:jc w:val="left"/>
            </w:pPr>
            <w:r>
              <w:rPr>
                <w:sz w:val="17"/>
                <w:szCs w:val="17"/>
              </w:rPr>
              <w:t xml:space="preserve">1</w:t>
            </w:r>
          </w:p>
        </w:tc>
        <w:tc>
          <w:tcPr>
            <w:tcW w:type="dxa" w:w="2340"/>
            <w:tcMar>
              <w:top w:type="dxa" w:w="50"/>
              <w:left w:type="dxa" w:w="80"/>
              <w:bottom w:type="dxa" w:w="50"/>
              <w:right w:type="dxa" w:w="80"/>
            </w:tcMar>
          </w:tcPr>
          <w:p>
            <w:pPr>
              <w:spacing w:after="0"/>
              <w:jc w:val="right"/>
            </w:pPr>
            <w:r>
              <w:rPr>
                <w:sz w:val="17"/>
                <w:szCs w:val="17"/>
              </w:rPr>
              <w:t xml:space="preserve">$62,800</w:t>
            </w:r>
          </w:p>
        </w:tc>
        <w:tc>
          <w:tcPr>
            <w:tcW w:type="dxa" w:w="2340"/>
            <w:tcMar>
              <w:top w:type="dxa" w:w="50"/>
              <w:left w:type="dxa" w:w="80"/>
              <w:bottom w:type="dxa" w:w="50"/>
              <w:right w:type="dxa" w:w="80"/>
            </w:tcMar>
          </w:tcPr>
          <w:p>
            <w:pPr>
              <w:spacing w:after="0"/>
              <w:jc w:val="right"/>
            </w:pPr>
            <w:r>
              <w:rPr>
                <w:sz w:val="17"/>
                <w:szCs w:val="17"/>
              </w:rPr>
              <w:t xml:space="preserve">$-20,334</w:t>
            </w:r>
          </w:p>
        </w:tc>
        <w:tc>
          <w:tcPr>
            <w:tcW w:type="dxa" w:w="2340"/>
            <w:tcMar>
              <w:top w:type="dxa" w:w="50"/>
              <w:left w:type="dxa" w:w="80"/>
              <w:bottom w:type="dxa" w:w="50"/>
              <w:right w:type="dxa" w:w="80"/>
            </w:tcMar>
          </w:tcPr>
          <w:p>
            <w:pPr>
              <w:spacing w:after="0"/>
              <w:jc w:val="right"/>
            </w:pPr>
            <w:r>
              <w:rPr>
                <w:sz w:val="17"/>
                <w:szCs w:val="17"/>
              </w:rPr>
              <w:t xml:space="preserve">$42,466</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$42,466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$-16,578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$25,888</w:t>
            </w:r>
          </w:p>
        </w:tc>
      </w:tr>
      <w:tr>
        <w:tc>
          <w:tcPr>
            <w:tcW w:type="dxa" w:w="2340"/>
            <w:tcMar>
              <w:top w:type="dxa" w:w="50"/>
              <w:left w:type="dxa" w:w="80"/>
              <w:bottom w:type="dxa" w:w="50"/>
              <w:right w:type="dxa" w:w="80"/>
            </w:tcMar>
          </w:tcPr>
          <w:p>
            <w:pPr>
              <w:spacing w:after="0"/>
              <w:jc w:val="left"/>
            </w:pPr>
            <w:r>
              <w:rPr>
                <w:sz w:val="17"/>
                <w:szCs w:val="17"/>
              </w:rPr>
              <w:t xml:space="preserve">3</w:t>
            </w:r>
          </w:p>
        </w:tc>
        <w:tc>
          <w:tcPr>
            <w:tcW w:type="dxa" w:w="2340"/>
            <w:tcMar>
              <w:top w:type="dxa" w:w="50"/>
              <w:left w:type="dxa" w:w="80"/>
              <w:bottom w:type="dxa" w:w="50"/>
              <w:right w:type="dxa" w:w="80"/>
            </w:tcMar>
          </w:tcPr>
          <w:p>
            <w:pPr>
              <w:spacing w:after="0"/>
              <w:jc w:val="right"/>
            </w:pPr>
            <w:r>
              <w:rPr>
                <w:sz w:val="17"/>
                <w:szCs w:val="17"/>
              </w:rPr>
              <w:t xml:space="preserve">$25,888</w:t>
            </w:r>
          </w:p>
        </w:tc>
        <w:tc>
          <w:tcPr>
            <w:tcW w:type="dxa" w:w="2340"/>
            <w:tcMar>
              <w:top w:type="dxa" w:w="50"/>
              <w:left w:type="dxa" w:w="80"/>
              <w:bottom w:type="dxa" w:w="50"/>
              <w:right w:type="dxa" w:w="80"/>
            </w:tcMar>
          </w:tcPr>
          <w:p>
            <w:pPr>
              <w:spacing w:after="0"/>
              <w:jc w:val="right"/>
            </w:pPr>
            <w:r>
              <w:rPr>
                <w:sz w:val="17"/>
                <w:szCs w:val="17"/>
              </w:rPr>
              <w:t xml:space="preserve">$-11,243</w:t>
            </w:r>
          </w:p>
        </w:tc>
        <w:tc>
          <w:tcPr>
            <w:tcW w:type="dxa" w:w="2340"/>
            <w:tcMar>
              <w:top w:type="dxa" w:w="50"/>
              <w:left w:type="dxa" w:w="80"/>
              <w:bottom w:type="dxa" w:w="50"/>
              <w:right w:type="dxa" w:w="80"/>
            </w:tcMar>
          </w:tcPr>
          <w:p>
            <w:pPr>
              <w:spacing w:after="0"/>
              <w:jc w:val="right"/>
            </w:pPr>
            <w:r>
              <w:rPr>
                <w:sz w:val="17"/>
                <w:szCs w:val="17"/>
              </w:rPr>
              <w:t xml:space="preserve">$14,644</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$14,644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$-4,664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$9,980</w:t>
            </w:r>
          </w:p>
        </w:tc>
      </w:tr>
      <w:tr>
        <w:tc>
          <w:tcPr>
            <w:tcW w:type="dxa" w:w="2340"/>
            <w:tcMar>
              <w:top w:type="dxa" w:w="50"/>
              <w:left w:type="dxa" w:w="80"/>
              <w:bottom w:type="dxa" w:w="50"/>
              <w:right w:type="dxa" w:w="80"/>
            </w:tcMar>
          </w:tcPr>
          <w:p>
            <w:pPr>
              <w:spacing w:after="0"/>
              <w:jc w:val="left"/>
            </w:pPr>
            <w:r>
              <w:rPr>
                <w:sz w:val="17"/>
                <w:szCs w:val="17"/>
              </w:rPr>
              <w:t xml:space="preserve">5</w:t>
            </w:r>
          </w:p>
        </w:tc>
        <w:tc>
          <w:tcPr>
            <w:tcW w:type="dxa" w:w="2340"/>
            <w:tcMar>
              <w:top w:type="dxa" w:w="50"/>
              <w:left w:type="dxa" w:w="80"/>
              <w:bottom w:type="dxa" w:w="50"/>
              <w:right w:type="dxa" w:w="80"/>
            </w:tcMar>
          </w:tcPr>
          <w:p>
            <w:pPr>
              <w:spacing w:after="0"/>
              <w:jc w:val="right"/>
            </w:pPr>
            <w:r>
              <w:rPr>
                <w:sz w:val="17"/>
                <w:szCs w:val="17"/>
              </w:rPr>
              <w:t xml:space="preserve">$9,980</w:t>
            </w:r>
          </w:p>
        </w:tc>
        <w:tc>
          <w:tcPr>
            <w:tcW w:type="dxa" w:w="2340"/>
            <w:tcMar>
              <w:top w:type="dxa" w:w="50"/>
              <w:left w:type="dxa" w:w="80"/>
              <w:bottom w:type="dxa" w:w="50"/>
              <w:right w:type="dxa" w:w="80"/>
            </w:tcMar>
          </w:tcPr>
          <w:p>
            <w:pPr>
              <w:spacing w:after="0"/>
              <w:jc w:val="right"/>
            </w:pPr>
            <w:r>
              <w:rPr>
                <w:sz w:val="17"/>
                <w:szCs w:val="17"/>
              </w:rPr>
              <w:t xml:space="preserve">$2,458</w:t>
            </w:r>
          </w:p>
        </w:tc>
        <w:tc>
          <w:tcPr>
            <w:tcW w:type="dxa" w:w="2340"/>
            <w:tcMar>
              <w:top w:type="dxa" w:w="50"/>
              <w:left w:type="dxa" w:w="80"/>
              <w:bottom w:type="dxa" w:w="50"/>
              <w:right w:type="dxa" w:w="80"/>
            </w:tcMar>
          </w:tcPr>
          <w:p>
            <w:pPr>
              <w:spacing w:after="0"/>
              <w:jc w:val="right"/>
            </w:pPr>
            <w:r>
              <w:rPr>
                <w:sz w:val="17"/>
                <w:szCs w:val="17"/>
              </w:rPr>
              <w:t xml:space="preserve">$12,438</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$12,438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$9,088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$21,526</w:t>
            </w:r>
          </w:p>
        </w:tc>
      </w:tr>
      <w:tr>
        <w:tc>
          <w:tcPr>
            <w:tcW w:type="dxa" w:w="2340"/>
            <w:tcMar>
              <w:top w:type="dxa" w:w="50"/>
              <w:left w:type="dxa" w:w="80"/>
              <w:bottom w:type="dxa" w:w="50"/>
              <w:right w:type="dxa" w:w="80"/>
            </w:tcMar>
          </w:tcPr>
          <w:p>
            <w:pPr>
              <w:spacing w:after="0"/>
              <w:jc w:val="left"/>
            </w:pPr>
            <w:r>
              <w:rPr>
                <w:sz w:val="17"/>
                <w:szCs w:val="17"/>
              </w:rPr>
              <w:t xml:space="preserve">7</w:t>
            </w:r>
          </w:p>
        </w:tc>
        <w:tc>
          <w:tcPr>
            <w:tcW w:type="dxa" w:w="2340"/>
            <w:tcMar>
              <w:top w:type="dxa" w:w="50"/>
              <w:left w:type="dxa" w:w="80"/>
              <w:bottom w:type="dxa" w:w="50"/>
              <w:right w:type="dxa" w:w="80"/>
            </w:tcMar>
          </w:tcPr>
          <w:p>
            <w:pPr>
              <w:spacing w:after="0"/>
              <w:jc w:val="right"/>
            </w:pPr>
            <w:r>
              <w:rPr>
                <w:sz w:val="17"/>
                <w:szCs w:val="17"/>
              </w:rPr>
              <w:t xml:space="preserve">$21,526</w:t>
            </w:r>
          </w:p>
        </w:tc>
        <w:tc>
          <w:tcPr>
            <w:tcW w:type="dxa" w:w="2340"/>
            <w:tcMar>
              <w:top w:type="dxa" w:w="50"/>
              <w:left w:type="dxa" w:w="80"/>
              <w:bottom w:type="dxa" w:w="50"/>
              <w:right w:type="dxa" w:w="80"/>
            </w:tcMar>
          </w:tcPr>
          <w:p>
            <w:pPr>
              <w:spacing w:after="0"/>
              <w:jc w:val="right"/>
            </w:pPr>
            <w:r>
              <w:rPr>
                <w:sz w:val="17"/>
                <w:szCs w:val="17"/>
              </w:rPr>
              <w:t xml:space="preserve">$14,191</w:t>
            </w:r>
          </w:p>
        </w:tc>
        <w:tc>
          <w:tcPr>
            <w:tcW w:type="dxa" w:w="2340"/>
            <w:tcMar>
              <w:top w:type="dxa" w:w="50"/>
              <w:left w:type="dxa" w:w="80"/>
              <w:bottom w:type="dxa" w:w="50"/>
              <w:right w:type="dxa" w:w="80"/>
            </w:tcMar>
          </w:tcPr>
          <w:p>
            <w:pPr>
              <w:spacing w:after="0"/>
              <w:jc w:val="right"/>
            </w:pPr>
            <w:r>
              <w:rPr>
                <w:sz w:val="17"/>
                <w:szCs w:val="17"/>
              </w:rPr>
              <w:t xml:space="preserve">$35,717</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$35,717</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$17,092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$52,809</w:t>
            </w:r>
          </w:p>
        </w:tc>
      </w:tr>
      <w:tr>
        <w:tc>
          <w:tcPr>
            <w:tcW w:type="dxa" w:w="2340"/>
            <w:tcMar>
              <w:top w:type="dxa" w:w="50"/>
              <w:left w:type="dxa" w:w="80"/>
              <w:bottom w:type="dxa" w:w="50"/>
              <w:right w:type="dxa" w:w="80"/>
            </w:tcMar>
          </w:tcPr>
          <w:p>
            <w:pPr>
              <w:spacing w:after="0"/>
              <w:jc w:val="left"/>
            </w:pPr>
            <w:r>
              <w:rPr>
                <w:sz w:val="17"/>
                <w:szCs w:val="17"/>
              </w:rPr>
              <w:t xml:space="preserve">9</w:t>
            </w:r>
          </w:p>
        </w:tc>
        <w:tc>
          <w:tcPr>
            <w:tcW w:type="dxa" w:w="2340"/>
            <w:tcMar>
              <w:top w:type="dxa" w:w="50"/>
              <w:left w:type="dxa" w:w="80"/>
              <w:bottom w:type="dxa" w:w="50"/>
              <w:right w:type="dxa" w:w="80"/>
            </w:tcMar>
          </w:tcPr>
          <w:p>
            <w:pPr>
              <w:spacing w:after="0"/>
              <w:jc w:val="right"/>
            </w:pPr>
            <w:r>
              <w:rPr>
                <w:sz w:val="17"/>
                <w:szCs w:val="17"/>
              </w:rPr>
              <w:t xml:space="preserve">$52,809</w:t>
            </w:r>
          </w:p>
        </w:tc>
        <w:tc>
          <w:tcPr>
            <w:tcW w:type="dxa" w:w="2340"/>
            <w:tcMar>
              <w:top w:type="dxa" w:w="50"/>
              <w:left w:type="dxa" w:w="80"/>
              <w:bottom w:type="dxa" w:w="50"/>
              <w:right w:type="dxa" w:w="80"/>
            </w:tcMar>
          </w:tcPr>
          <w:p>
            <w:pPr>
              <w:spacing w:after="0"/>
              <w:jc w:val="right"/>
            </w:pPr>
            <w:r>
              <w:rPr>
                <w:sz w:val="17"/>
                <w:szCs w:val="17"/>
              </w:rPr>
              <w:t xml:space="preserve">$13,880</w:t>
            </w:r>
          </w:p>
        </w:tc>
        <w:tc>
          <w:tcPr>
            <w:tcW w:type="dxa" w:w="2340"/>
            <w:tcMar>
              <w:top w:type="dxa" w:w="50"/>
              <w:left w:type="dxa" w:w="80"/>
              <w:bottom w:type="dxa" w:w="50"/>
              <w:right w:type="dxa" w:w="80"/>
            </w:tcMar>
          </w:tcPr>
          <w:p>
            <w:pPr>
              <w:spacing w:after="0"/>
              <w:jc w:val="right"/>
            </w:pPr>
            <w:r>
              <w:rPr>
                <w:sz w:val="17"/>
                <w:szCs w:val="17"/>
              </w:rPr>
              <w:t xml:space="preserve">$66,689</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10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$66,689</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$9,503</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$76,191</w:t>
            </w:r>
          </w:p>
        </w:tc>
      </w:tr>
      <w:tr>
        <w:tc>
          <w:tcPr>
            <w:tcW w:type="dxa" w:w="2340"/>
            <w:tcMar>
              <w:top w:type="dxa" w:w="50"/>
              <w:left w:type="dxa" w:w="80"/>
              <w:bottom w:type="dxa" w:w="50"/>
              <w:right w:type="dxa" w:w="80"/>
            </w:tcMar>
          </w:tcPr>
          <w:p>
            <w:pPr>
              <w:spacing w:after="0"/>
              <w:jc w:val="left"/>
            </w:pPr>
            <w:r>
              <w:rPr>
                <w:sz w:val="17"/>
                <w:szCs w:val="17"/>
              </w:rPr>
              <w:t xml:space="preserve">11</w:t>
            </w:r>
          </w:p>
        </w:tc>
        <w:tc>
          <w:tcPr>
            <w:tcW w:type="dxa" w:w="2340"/>
            <w:tcMar>
              <w:top w:type="dxa" w:w="50"/>
              <w:left w:type="dxa" w:w="80"/>
              <w:bottom w:type="dxa" w:w="50"/>
              <w:right w:type="dxa" w:w="80"/>
            </w:tcMar>
          </w:tcPr>
          <w:p>
            <w:pPr>
              <w:spacing w:after="0"/>
              <w:jc w:val="right"/>
            </w:pPr>
            <w:r>
              <w:rPr>
                <w:sz w:val="17"/>
                <w:szCs w:val="17"/>
              </w:rPr>
              <w:t xml:space="preserve">$76,191</w:t>
            </w:r>
          </w:p>
        </w:tc>
        <w:tc>
          <w:tcPr>
            <w:tcW w:type="dxa" w:w="2340"/>
            <w:tcMar>
              <w:top w:type="dxa" w:w="50"/>
              <w:left w:type="dxa" w:w="80"/>
              <w:bottom w:type="dxa" w:w="50"/>
              <w:right w:type="dxa" w:w="80"/>
            </w:tcMar>
          </w:tcPr>
          <w:p>
            <w:pPr>
              <w:spacing w:after="0"/>
              <w:jc w:val="right"/>
            </w:pPr>
            <w:r>
              <w:rPr>
                <w:sz w:val="17"/>
                <w:szCs w:val="17"/>
              </w:rPr>
              <w:t xml:space="preserve">$5,126</w:t>
            </w:r>
          </w:p>
        </w:tc>
        <w:tc>
          <w:tcPr>
            <w:tcW w:type="dxa" w:w="2340"/>
            <w:tcMar>
              <w:top w:type="dxa" w:w="50"/>
              <w:left w:type="dxa" w:w="80"/>
              <w:bottom w:type="dxa" w:w="50"/>
              <w:right w:type="dxa" w:w="80"/>
            </w:tcMar>
          </w:tcPr>
          <w:p>
            <w:pPr>
              <w:spacing w:after="0"/>
              <w:jc w:val="right"/>
            </w:pPr>
            <w:r>
              <w:rPr>
                <w:sz w:val="17"/>
                <w:szCs w:val="17"/>
              </w:rPr>
              <w:t xml:space="preserve">$81,317</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12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$81,317</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$1,914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$83,231</w:t>
            </w:r>
          </w:p>
        </w:tc>
      </w:tr>
    </w:tbl>
    <w:p>
      <w:pPr>
        <w:spacing w:after="140"/>
      </w:pPr>
      <w:r>
        <w:t xml:space="preserve"/>
      </w:r>
    </w:p>
    <w:p>
      <w:pPr>
        <w:spacing w:after="90"/>
      </w:pPr>
      <w:r>
        <w:t xml:space="preserve"/>
      </w:r>
    </w:p>
    <w:p>
      <w:pPr>
        <w:pStyle w:val="Heading2"/>
        <w:spacing w:after="110" w:before="240"/>
      </w:pPr>
      <w:r>
        <w:t xml:space="preserve">Break-Even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Break-even</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r>
      <w:tr>
        <w:tc>
          <w:tcPr>
            <w:tcW w:type="dxa" w:w="4680"/>
            <w:tcMar>
              <w:top w:type="dxa" w:w="50"/>
              <w:left w:type="dxa" w:w="80"/>
              <w:bottom w:type="dxa" w:w="50"/>
              <w:right w:type="dxa" w:w="80"/>
            </w:tcMar>
          </w:tcPr>
          <w:p>
            <w:pPr>
              <w:spacing w:after="0"/>
              <w:jc w:val="left"/>
            </w:pPr>
            <w:r>
              <w:rPr>
                <w:sz w:val="17"/>
                <w:szCs w:val="17"/>
              </w:rPr>
              <w:t xml:space="preserve">Contribution margin per unit</w:t>
            </w:r>
          </w:p>
        </w:tc>
        <w:tc>
          <w:tcPr>
            <w:tcW w:type="dxa" w:w="4680"/>
            <w:tcMar>
              <w:top w:type="dxa" w:w="50"/>
              <w:left w:type="dxa" w:w="80"/>
              <w:bottom w:type="dxa" w:w="50"/>
              <w:right w:type="dxa" w:w="80"/>
            </w:tcMar>
          </w:tcPr>
          <w:p>
            <w:pPr>
              <w:spacing w:after="0"/>
              <w:jc w:val="right"/>
            </w:pPr>
            <w:r>
              <w:rPr>
                <w:sz w:val="17"/>
                <w:szCs w:val="17"/>
              </w:rPr>
              <w:t xml:space="preserve">$25.90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Fixed costs plus debt service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$49,083</w:t>
            </w:r>
          </w:p>
        </w:tc>
      </w:tr>
      <w:tr>
        <w:tc>
          <w:tcPr>
            <w:tcW w:type="dxa" w:w="4680"/>
            <w:tcMar>
              <w:top w:type="dxa" w:w="50"/>
              <w:left w:type="dxa" w:w="80"/>
              <w:bottom w:type="dxa" w:w="50"/>
              <w:right w:type="dxa" w:w="80"/>
            </w:tcMar>
          </w:tcPr>
          <w:p>
            <w:pPr>
              <w:spacing w:after="0"/>
              <w:jc w:val="left"/>
            </w:pPr>
            <w:r>
              <w:rPr>
                <w:sz w:val="17"/>
                <w:szCs w:val="17"/>
              </w:rPr>
              <w:t xml:space="preserve">Break-even volume</w:t>
            </w:r>
          </w:p>
        </w:tc>
        <w:tc>
          <w:tcPr>
            <w:tcW w:type="dxa" w:w="4680"/>
            <w:tcMar>
              <w:top w:type="dxa" w:w="50"/>
              <w:left w:type="dxa" w:w="80"/>
              <w:bottom w:type="dxa" w:w="50"/>
              <w:right w:type="dxa" w:w="80"/>
            </w:tcMar>
          </w:tcPr>
          <w:p>
            <w:pPr>
              <w:spacing w:after="0"/>
              <w:jc w:val="right"/>
            </w:pPr>
            <w:r>
              <w:rPr>
                <w:sz w:val="17"/>
                <w:szCs w:val="17"/>
              </w:rPr>
              <w:t xml:space="preserve">1,896 units/month</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Break-even revenue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$70,152</w:t>
            </w:r>
          </w:p>
        </w:tc>
      </w:tr>
      <w:tr>
        <w:tc>
          <w:tcPr>
            <w:tcW w:type="dxa" w:w="4680"/>
            <w:tcMar>
              <w:top w:type="dxa" w:w="50"/>
              <w:left w:type="dxa" w:w="80"/>
              <w:bottom w:type="dxa" w:w="50"/>
              <w:right w:type="dxa" w:w="80"/>
            </w:tcMar>
          </w:tcPr>
          <w:p>
            <w:pPr>
              <w:spacing w:after="0"/>
              <w:jc w:val="left"/>
            </w:pPr>
            <w:r>
              <w:rPr>
                <w:sz w:val="17"/>
                <w:szCs w:val="17"/>
              </w:rPr>
              <w:t xml:space="preserve">Share of capacity required</w:t>
            </w:r>
          </w:p>
        </w:tc>
        <w:tc>
          <w:tcPr>
            <w:tcW w:type="dxa" w:w="4680"/>
            <w:tcMar>
              <w:top w:type="dxa" w:w="50"/>
              <w:left w:type="dxa" w:w="80"/>
              <w:bottom w:type="dxa" w:w="50"/>
              <w:right w:type="dxa" w:w="80"/>
            </w:tcMar>
          </w:tcPr>
          <w:p>
            <w:pPr>
              <w:spacing w:after="0"/>
              <w:jc w:val="right"/>
            </w:pPr>
            <w:r>
              <w:rPr>
                <w:sz w:val="17"/>
                <w:szCs w:val="17"/>
              </w:rPr>
              <w:t xml:space="preserve">55.0%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Month reached</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5</w:t>
            </w:r>
          </w:p>
        </w:tc>
      </w:tr>
    </w:tbl>
    <w:p>
      <w:pPr>
        <w:spacing w:after="140"/>
      </w:pPr>
      <w:r>
        <w:t xml:space="preserve"/>
      </w:r>
    </w:p>
    <w:p>
      <w:pPr>
        <w:spacing w:after="90"/>
      </w:pPr>
      <w:r>
        <w:t xml:space="preserve"/>
      </w:r>
    </w:p>
    <w:p>
      <w:pPr>
        <w:pStyle w:val="Heading2"/>
        <w:spacing w:after="110" w:before="240"/>
      </w:pPr>
      <w:r>
        <w:t xml:space="preserve">Scenario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Scenario</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Year-1 revenue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Cash low point</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Year-1 DSCR</w:t>
            </w:r>
          </w:p>
        </w:tc>
      </w:tr>
      <w:tr>
        <w:tc>
          <w:tcPr>
            <w:tcW w:type="dxa" w:w="2340"/>
            <w:tcMar>
              <w:top w:type="dxa" w:w="50"/>
              <w:left w:type="dxa" w:w="80"/>
              <w:bottom w:type="dxa" w:w="50"/>
              <w:right w:type="dxa" w:w="80"/>
            </w:tcMar>
          </w:tcPr>
          <w:p>
            <w:pPr>
              <w:spacing w:after="0"/>
              <w:jc w:val="left"/>
            </w:pPr>
            <w:r>
              <w:rPr>
                <w:sz w:val="17"/>
                <w:szCs w:val="17"/>
              </w:rPr>
              <w:t xml:space="preserve">Conservative (−20% volume)</w:t>
            </w:r>
          </w:p>
        </w:tc>
        <w:tc>
          <w:tcPr>
            <w:tcW w:type="dxa" w:w="2340"/>
            <w:tcMar>
              <w:top w:type="dxa" w:w="50"/>
              <w:left w:type="dxa" w:w="80"/>
              <w:bottom w:type="dxa" w:w="50"/>
              <w:right w:type="dxa" w:w="80"/>
            </w:tcMar>
          </w:tcPr>
          <w:p>
            <w:pPr>
              <w:spacing w:after="0"/>
              <w:jc w:val="right"/>
            </w:pPr>
            <w:r>
              <w:rPr>
                <w:sz w:val="17"/>
                <w:szCs w:val="17"/>
              </w:rPr>
              <w:t xml:space="preserve">$696,451</w:t>
            </w:r>
          </w:p>
        </w:tc>
        <w:tc>
          <w:tcPr>
            <w:tcW w:type="dxa" w:w="2340"/>
            <w:tcMar>
              <w:top w:type="dxa" w:w="50"/>
              <w:left w:type="dxa" w:w="80"/>
              <w:bottom w:type="dxa" w:w="50"/>
              <w:right w:type="dxa" w:w="80"/>
            </w:tcMar>
          </w:tcPr>
          <w:p>
            <w:pPr>
              <w:spacing w:after="0"/>
              <w:jc w:val="right"/>
            </w:pPr>
            <w:r>
              <w:rPr>
                <w:sz w:val="17"/>
                <w:szCs w:val="17"/>
              </w:rPr>
              <w:t xml:space="preserve">$-38,680</w:t>
            </w:r>
          </w:p>
        </w:tc>
        <w:tc>
          <w:tcPr>
            <w:tcW w:type="dxa" w:w="2340"/>
            <w:tcMar>
              <w:top w:type="dxa" w:w="50"/>
              <w:left w:type="dxa" w:w="80"/>
              <w:bottom w:type="dxa" w:w="50"/>
              <w:right w:type="dxa" w:w="80"/>
            </w:tcMar>
          </w:tcPr>
          <w:p>
            <w:pPr>
              <w:spacing w:after="0"/>
              <w:jc w:val="right"/>
            </w:pPr>
            <w:r>
              <w:rPr>
                <w:sz w:val="17"/>
                <w:szCs w:val="17"/>
              </w:rPr>
              <w:t xml:space="preserve">-1.34</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Base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$870,610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$9,980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1.47</w:t>
            </w:r>
          </w:p>
        </w:tc>
      </w:tr>
      <w:tr>
        <w:tc>
          <w:tcPr>
            <w:tcW w:type="dxa" w:w="2340"/>
            <w:tcMar>
              <w:top w:type="dxa" w:w="50"/>
              <w:left w:type="dxa" w:w="80"/>
              <w:bottom w:type="dxa" w:w="50"/>
              <w:right w:type="dxa" w:w="80"/>
            </w:tcMar>
          </w:tcPr>
          <w:p>
            <w:pPr>
              <w:spacing w:after="0"/>
              <w:jc w:val="left"/>
            </w:pPr>
            <w:r>
              <w:rPr>
                <w:sz w:val="17"/>
                <w:szCs w:val="17"/>
              </w:rPr>
              <w:t xml:space="preserve">Strong (+20% volume)</w:t>
            </w:r>
          </w:p>
        </w:tc>
        <w:tc>
          <w:tcPr>
            <w:tcW w:type="dxa" w:w="2340"/>
            <w:tcMar>
              <w:top w:type="dxa" w:w="50"/>
              <w:left w:type="dxa" w:w="80"/>
              <w:bottom w:type="dxa" w:w="50"/>
              <w:right w:type="dxa" w:w="80"/>
            </w:tcMar>
          </w:tcPr>
          <w:p>
            <w:pPr>
              <w:spacing w:after="0"/>
              <w:jc w:val="right"/>
            </w:pPr>
            <w:r>
              <w:rPr>
                <w:sz w:val="17"/>
                <w:szCs w:val="17"/>
              </w:rPr>
              <w:t xml:space="preserve">$1,044,695</w:t>
            </w:r>
          </w:p>
        </w:tc>
        <w:tc>
          <w:tcPr>
            <w:tcW w:type="dxa" w:w="2340"/>
            <w:tcMar>
              <w:top w:type="dxa" w:w="50"/>
              <w:left w:type="dxa" w:w="80"/>
              <w:bottom w:type="dxa" w:w="50"/>
              <w:right w:type="dxa" w:w="80"/>
            </w:tcMar>
          </w:tcPr>
          <w:p>
            <w:pPr>
              <w:spacing w:after="0"/>
              <w:jc w:val="right"/>
            </w:pPr>
            <w:r>
              <w:rPr>
                <w:sz w:val="17"/>
                <w:szCs w:val="17"/>
              </w:rPr>
              <w:t xml:space="preserve">$34,458</w:t>
            </w:r>
          </w:p>
        </w:tc>
        <w:tc>
          <w:tcPr>
            <w:tcW w:type="dxa" w:w="2340"/>
            <w:tcMar>
              <w:top w:type="dxa" w:w="50"/>
              <w:left w:type="dxa" w:w="80"/>
              <w:bottom w:type="dxa" w:w="50"/>
              <w:right w:type="dxa" w:w="80"/>
            </w:tcMar>
          </w:tcPr>
          <w:p>
            <w:pPr>
              <w:spacing w:after="0"/>
              <w:jc w:val="right"/>
            </w:pPr>
            <w:r>
              <w:rPr>
                <w:sz w:val="17"/>
                <w:szCs w:val="17"/>
              </w:rPr>
              <w:t xml:space="preserve">4.28</w:t>
            </w:r>
          </w:p>
        </w:tc>
      </w:tr>
    </w:tbl>
    <w:p>
      <w:pPr>
        <w:spacing w:after="140"/>
      </w:pPr>
      <w:r>
        <w:t xml:space="preserve"/>
      </w:r>
    </w:p>
    <w:p>
      <w:pPr>
        <w:spacing w:after="90"/>
      </w:pPr>
      <w:r>
        <w:t xml:space="preserve"/>
      </w:r>
    </w:p>
    <w:p>
      <w:pPr>
        <w:pStyle w:val="Heading1"/>
        <w:spacing w:after="140" w:before="320"/>
      </w:pPr>
      <w:r>
        <w:t xml:space="preserve">Funding Request and Use of Funds</w:t>
      </w:r>
    </w:p>
    <w:p>
      <w:pPr>
        <w:spacing w:after="130"/>
      </w:pPr>
      <w:r>
        <w:t xml:space="preserve">Cedar &amp; Vine Kitchen LLC requests a $265,000 loan to fund the opening of a single 46-seat bistro at the leased Haywood Road location. Total project cost is $350,200. The two owners will inject $96,000 from savings and family sources that have been seasoned for 14 months, representing 27.41 percent of the total requirement. Combined with the requested loan, funds available reach $361,000 and produce an $10,800 surplus after all stated uses.</w:t>
      </w:r>
    </w:p>
    <w:p>
      <w:pPr>
        <w:spacing w:after="90"/>
      </w:pPr>
      <w:r>
        <w:t xml:space="preserve"/>
      </w:r>
    </w:p>
    <w:p>
      <w:pPr>
        <w:spacing w:after="130"/>
      </w:pPr>
      <w:r>
        <w:t xml:space="preserve">The $265,000 loan proceeds are allocated as follows: $96,000 for build-out, plumbing, electrical, grease trap and ADA compliance; $78,000 for the kitchen line, range, ovens, hood and fire suppression; $41,000 for refrigeration and bar build; $24,000 for signage, permits and a 15 percent contingency; and $26,000 for working capital. These amounts align with the itemized capital expenditures that total $298,200 and leave the working-capital reserve intact for initial operating shortfalls.</w:t>
      </w:r>
    </w:p>
    <w:p>
      <w:pPr>
        <w:spacing w:after="90"/>
      </w:pPr>
      <w:r>
        <w:t xml:space="preserve"/>
      </w:r>
    </w:p>
    <w:p>
      <w:pPr>
        <w:spacing w:after="130"/>
      </w:pPr>
      <w:r>
        <w:t xml:space="preserve">Collateral offered consists of the kitchen line and hood valued at $78,000, refrigeration at $31,000, bar and draft system at $18,500, and dining-room fit-out at $27,500. Both owners have provided personal guarantees. Monthly debt service on the requested 120-month term at 10.75 percent is $3,612.98. Steady-state monthly revenue of $96,200 and fixed operating costs of $45,470 produce debt-service coverage ratios of 1.47 in year one, 1.63 in year two and 1.73 in year three. Break-even occurs in month five at 1,896 covers. The working-capital component is sized to cover the projected cash trough of approximately $9,980 in month four.</w:t>
      </w:r>
    </w:p>
    <w:p>
      <w:pPr>
        <w:spacing w:after="90"/>
      </w:pPr>
      <w:r>
        <w:t xml:space="preserve"/>
      </w:r>
    </w:p>
    <w:p>
      <w:pPr>
        <w:pStyle w:val="Heading2"/>
        <w:spacing w:after="110" w:before="240"/>
      </w:pPr>
      <w:r>
        <w:t xml:space="preserve">Use of Funds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Use of funds</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r>
      <w:tr>
        <w:tc>
          <w:tcPr>
            <w:tcW w:type="dxa" w:w="4680"/>
            <w:tcMar>
              <w:top w:type="dxa" w:w="50"/>
              <w:left w:type="dxa" w:w="80"/>
              <w:bottom w:type="dxa" w:w="50"/>
              <w:right w:type="dxa" w:w="80"/>
            </w:tcMar>
          </w:tcPr>
          <w:p>
            <w:pPr>
              <w:spacing w:after="0"/>
              <w:jc w:val="left"/>
            </w:pPr>
            <w:r>
              <w:rPr>
                <w:sz w:val="17"/>
                <w:szCs w:val="17"/>
              </w:rPr>
              <w:t xml:space="preserve">Build-out, plumbing and compliance</w:t>
            </w:r>
          </w:p>
        </w:tc>
        <w:tc>
          <w:tcPr>
            <w:tcW w:type="dxa" w:w="4680"/>
            <w:tcMar>
              <w:top w:type="dxa" w:w="50"/>
              <w:left w:type="dxa" w:w="80"/>
              <w:bottom w:type="dxa" w:w="50"/>
              <w:right w:type="dxa" w:w="80"/>
            </w:tcMar>
          </w:tcPr>
          <w:p>
            <w:pPr>
              <w:spacing w:after="0"/>
              <w:jc w:val="right"/>
            </w:pPr>
            <w:r>
              <w:rPr>
                <w:sz w:val="17"/>
                <w:szCs w:val="17"/>
              </w:rPr>
              <w:t xml:space="preserve">$96,000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Kitchen line and fire suppression</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$78,000</w:t>
            </w:r>
          </w:p>
        </w:tc>
      </w:tr>
      <w:tr>
        <w:tc>
          <w:tcPr>
            <w:tcW w:type="dxa" w:w="4680"/>
            <w:tcMar>
              <w:top w:type="dxa" w:w="50"/>
              <w:left w:type="dxa" w:w="80"/>
              <w:bottom w:type="dxa" w:w="50"/>
              <w:right w:type="dxa" w:w="80"/>
            </w:tcMar>
          </w:tcPr>
          <w:p>
            <w:pPr>
              <w:spacing w:after="0"/>
              <w:jc w:val="left"/>
            </w:pPr>
            <w:r>
              <w:rPr>
                <w:sz w:val="17"/>
                <w:szCs w:val="17"/>
              </w:rPr>
              <w:t xml:space="preserve">Refrigeration and bar build</w:t>
            </w:r>
          </w:p>
        </w:tc>
        <w:tc>
          <w:tcPr>
            <w:tcW w:type="dxa" w:w="4680"/>
            <w:tcMar>
              <w:top w:type="dxa" w:w="50"/>
              <w:left w:type="dxa" w:w="80"/>
              <w:bottom w:type="dxa" w:w="50"/>
              <w:right w:type="dxa" w:w="80"/>
            </w:tcMar>
          </w:tcPr>
          <w:p>
            <w:pPr>
              <w:spacing w:after="0"/>
              <w:jc w:val="right"/>
            </w:pPr>
            <w:r>
              <w:rPr>
                <w:sz w:val="17"/>
                <w:szCs w:val="17"/>
              </w:rPr>
              <w:t xml:space="preserve">$41,000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Signage, permits and contingency</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$24,000</w:t>
            </w:r>
          </w:p>
        </w:tc>
      </w:tr>
      <w:tr>
        <w:tc>
          <w:tcPr>
            <w:tcW w:type="dxa" w:w="4680"/>
            <w:tcMar>
              <w:top w:type="dxa" w:w="50"/>
              <w:left w:type="dxa" w:w="80"/>
              <w:bottom w:type="dxa" w:w="50"/>
              <w:right w:type="dxa" w:w="80"/>
            </w:tcMar>
          </w:tcPr>
          <w:p>
            <w:pPr>
              <w:spacing w:after="0"/>
              <w:jc w:val="left"/>
            </w:pPr>
            <w:r>
              <w:rPr>
                <w:sz w:val="17"/>
                <w:szCs w:val="17"/>
              </w:rPr>
              <w:t xml:space="preserve">Working capital</w:t>
            </w:r>
          </w:p>
        </w:tc>
        <w:tc>
          <w:tcPr>
            <w:tcW w:type="dxa" w:w="4680"/>
            <w:tcMar>
              <w:top w:type="dxa" w:w="50"/>
              <w:left w:type="dxa" w:w="80"/>
              <w:bottom w:type="dxa" w:w="50"/>
              <w:right w:type="dxa" w:w="80"/>
            </w:tcMar>
          </w:tcPr>
          <w:p>
            <w:pPr>
              <w:spacing w:after="0"/>
              <w:jc w:val="right"/>
            </w:pPr>
            <w:r>
              <w:rPr>
                <w:sz w:val="17"/>
                <w:szCs w:val="17"/>
              </w:rPr>
              <w:t xml:space="preserve">$26,000</w:t>
            </w:r>
          </w:p>
        </w:tc>
      </w:tr>
      <w:tr>
        <w:tc>
          <w:tcPr>
            <w:tcW w:type="dxa" w:w="4680"/>
            <w:shd w:fill="EEF3F4" w:color="auto" w:val="clear"/>
            <w:tcMar>
              <w:top w:type="dxa" w:w="50"/>
              <w:left w:type="dxa" w:w="80"/>
              <w:bottom w:type="dxa" w:w="50"/>
              <w:right w:type="dxa" w:w="80"/>
            </w:tcMar>
          </w:tcPr>
          <w:p>
            <w:pPr>
              <w:spacing w:after="0"/>
              <w:jc w:val="left"/>
            </w:pPr>
            <w:r>
              <w:rPr>
                <w:b/>
                <w:bCs/>
                <w:sz w:val="17"/>
                <w:szCs w:val="17"/>
              </w:rPr>
              <w:t xml:space="preserve">Total</w:t>
            </w:r>
          </w:p>
        </w:tc>
        <w:tc>
          <w:tcPr>
            <w:tcW w:type="dxa" w:w="4680"/>
            <w:shd w:fill="EEF3F4" w:color="auto" w:val="clear"/>
            <w:tcMar>
              <w:top w:type="dxa" w:w="50"/>
              <w:left w:type="dxa" w:w="80"/>
              <w:bottom w:type="dxa" w:w="50"/>
              <w:right w:type="dxa" w:w="80"/>
            </w:tcMar>
          </w:tcPr>
          <w:p>
            <w:pPr>
              <w:spacing w:after="0"/>
              <w:jc w:val="right"/>
            </w:pPr>
            <w:r>
              <w:rPr>
                <w:b/>
                <w:bCs/>
                <w:sz w:val="17"/>
                <w:szCs w:val="17"/>
              </w:rPr>
              <w:t xml:space="preserve">$265,000</w:t>
            </w:r>
          </w:p>
        </w:tc>
      </w:tr>
      <w:tr>
        <w:tc>
          <w:tcPr>
            <w:tcW w:type="dxa" w:w="4680"/>
            <w:tcMar>
              <w:top w:type="dxa" w:w="50"/>
              <w:left w:type="dxa" w:w="80"/>
              <w:bottom w:type="dxa" w:w="50"/>
              <w:right w:type="dxa" w:w="80"/>
            </w:tcMar>
          </w:tcPr>
          <w:p>
            <w:pPr>
              <w:spacing w:after="0"/>
              <w:jc w:val="left"/>
            </w:pPr>
            <w:r>
              <w:rPr>
                <w:sz w:val="17"/>
                <w:szCs w:val="17"/>
              </w:rPr>
              <w:t xml:space="preserve">Loan requested</w:t>
            </w:r>
          </w:p>
        </w:tc>
        <w:tc>
          <w:tcPr>
            <w:tcW w:type="dxa" w:w="4680"/>
            <w:tcMar>
              <w:top w:type="dxa" w:w="50"/>
              <w:left w:type="dxa" w:w="80"/>
              <w:bottom w:type="dxa" w:w="50"/>
              <w:right w:type="dxa" w:w="80"/>
            </w:tcMar>
          </w:tcPr>
          <w:p>
            <w:pPr>
              <w:spacing w:after="0"/>
              <w:jc w:val="right"/>
            </w:pPr>
            <w:r>
              <w:rPr>
                <w:sz w:val="17"/>
                <w:szCs w:val="17"/>
              </w:rPr>
              <w:t xml:space="preserve">$265,000</w:t>
            </w:r>
          </w:p>
        </w:tc>
      </w:tr>
    </w:tbl>
    <w:p>
      <w:pPr>
        <w:spacing w:after="140"/>
      </w:pPr>
      <w:r>
        <w:t xml:space="preserve"/>
      </w:r>
    </w:p>
    <w:p>
      <w:pPr>
        <w:spacing w:after="90"/>
      </w:pPr>
      <w:r>
        <w:t xml:space="preserve"/>
      </w:r>
    </w:p>
    <w:p>
      <w:pPr>
        <w:pStyle w:val="Heading2"/>
        <w:spacing w:after="110" w:before="240"/>
      </w:pPr>
      <w:r>
        <w:t xml:space="preserve">Debt Service Coverage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Debt service coverage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1</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2</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3</w:t>
            </w:r>
          </w:p>
        </w:tc>
      </w:tr>
      <w:tr>
        <w:tc>
          <w:tcPr>
            <w:tcW w:type="dxa" w:w="2340"/>
            <w:tcMar>
              <w:top w:type="dxa" w:w="50"/>
              <w:left w:type="dxa" w:w="80"/>
              <w:bottom w:type="dxa" w:w="50"/>
              <w:right w:type="dxa" w:w="80"/>
            </w:tcMar>
          </w:tcPr>
          <w:p>
            <w:pPr>
              <w:spacing w:after="0"/>
              <w:jc w:val="left"/>
            </w:pPr>
            <w:r>
              <w:rPr>
                <w:sz w:val="17"/>
                <w:szCs w:val="17"/>
              </w:rPr>
              <w:t xml:space="preserve">DSCR</w:t>
            </w:r>
          </w:p>
        </w:tc>
        <w:tc>
          <w:tcPr>
            <w:tcW w:type="dxa" w:w="2340"/>
            <w:tcMar>
              <w:top w:type="dxa" w:w="50"/>
              <w:left w:type="dxa" w:w="80"/>
              <w:bottom w:type="dxa" w:w="50"/>
              <w:right w:type="dxa" w:w="80"/>
            </w:tcMar>
          </w:tcPr>
          <w:p>
            <w:pPr>
              <w:spacing w:after="0"/>
              <w:jc w:val="right"/>
            </w:pPr>
            <w:r>
              <w:rPr>
                <w:sz w:val="17"/>
                <w:szCs w:val="17"/>
              </w:rPr>
              <w:t xml:space="preserve">1.47</w:t>
            </w:r>
          </w:p>
        </w:tc>
        <w:tc>
          <w:tcPr>
            <w:tcW w:type="dxa" w:w="2340"/>
            <w:tcMar>
              <w:top w:type="dxa" w:w="50"/>
              <w:left w:type="dxa" w:w="80"/>
              <w:bottom w:type="dxa" w:w="50"/>
              <w:right w:type="dxa" w:w="80"/>
            </w:tcMar>
          </w:tcPr>
          <w:p>
            <w:pPr>
              <w:spacing w:after="0"/>
              <w:jc w:val="right"/>
            </w:pPr>
            <w:r>
              <w:rPr>
                <w:sz w:val="17"/>
                <w:szCs w:val="17"/>
              </w:rPr>
              <w:t xml:space="preserve">1.63</w:t>
            </w:r>
          </w:p>
        </w:tc>
        <w:tc>
          <w:tcPr>
            <w:tcW w:type="dxa" w:w="2340"/>
            <w:tcMar>
              <w:top w:type="dxa" w:w="50"/>
              <w:left w:type="dxa" w:w="80"/>
              <w:bottom w:type="dxa" w:w="50"/>
              <w:right w:type="dxa" w:w="80"/>
            </w:tcMar>
          </w:tcPr>
          <w:p>
            <w:pPr>
              <w:spacing w:after="0"/>
              <w:jc w:val="right"/>
            </w:pPr>
            <w:r>
              <w:rPr>
                <w:sz w:val="17"/>
                <w:szCs w:val="17"/>
              </w:rPr>
              <w:t xml:space="preserve">1.73</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Lender floor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r>
    </w:tbl>
    <w:p>
      <w:pPr>
        <w:spacing w:after="140"/>
      </w:pPr>
      <w:r>
        <w:t xml:space="preserve"/>
      </w:r>
    </w:p>
    <w:p>
      <w:pPr>
        <w:spacing w:after="90"/>
      </w:pPr>
      <w:r>
        <w:t xml:space="preserve"/>
      </w:r>
    </w:p>
    <w:p>
      <w:pPr>
        <w:pStyle w:val="Heading1"/>
        <w:spacing w:after="140" w:before="320"/>
      </w:pPr>
      <w:r>
        <w:t xml:space="preserve">Risk Analysis and Mitigation</w:t>
      </w:r>
    </w:p>
    <w:p>
      <w:pPr>
        <w:spacing w:after="130"/>
      </w:pPr>
      <w:r>
        <w:t xml:space="preserve">The principal risks are the extended cash ramp, high fixed operating costs relative to early volume, and the lease structure. Projections show a cash low point of $9,979.98 in month four and break-even only in month five, after which monthly revenue must reach $70,152 simply to cover the $45,470 in fixed monthly expenses. Any shortfall in the assumed 75 percent seat utilization or 46 percent repeat rate would extend the period of negative cash flow beyond the $52,000 working-capital reserve.</w:t>
      </w:r>
    </w:p>
    <w:p>
      <w:pPr>
        <w:spacing w:after="90"/>
      </w:pPr>
      <w:r>
        <w:t xml:space="preserve"/>
      </w:r>
    </w:p>
    <w:p>
      <w:pPr>
        <w:spacing w:after="130"/>
      </w:pPr>
      <w:r>
        <w:t xml:space="preserve">Lease terms add further exposure. The 84-month agreement carries a personal guarantee, 3 percent annual escalations, and a $6,900 monthly rent obligation that equals 7.17 percent of steady-state revenue. Early termination or prolonged underperformance would therefore create direct recourse to the owners’ personal assets.</w:t>
      </w:r>
    </w:p>
    <w:p>
      <w:pPr>
        <w:spacing w:after="90"/>
      </w:pPr>
      <w:r>
        <w:t xml:space="preserve"/>
      </w:r>
    </w:p>
    <w:p>
      <w:pPr>
        <w:spacing w:after="130"/>
      </w:pPr>
      <w:r>
        <w:t xml:space="preserve">Operational inexperience with new-unit openings is a recognized gap. Neither owner has previously managed a build-out from shell space. This is addressed by a fixed-fee consultant engagement covering construction and the first 90 days plus a CPA performing monthly closes from month one. Prior supper-club results and twelve years of kitchen and front-of-house management provide some evidence of demand and cost control, yet those results occurred in a different format and location.</w:t>
      </w:r>
    </w:p>
    <w:p>
      <w:pPr>
        <w:spacing w:after="90"/>
      </w:pPr>
      <w:r>
        <w:t xml:space="preserve"/>
      </w:r>
    </w:p>
    <w:p>
      <w:pPr>
        <w:spacing w:after="130"/>
      </w:pPr>
      <w:r>
        <w:t xml:space="preserve">Debt-service coverage begins at 1.47 in year one and improves to 1.73 by year three under the stated assumptions. These ratios leave limited margin for cost overruns, slower volume growth, or unexpected capital needs. Collateral is limited to equipment and fit-out items with an aggregate value of $155,000, leaving the balance of the requested loan unsecured beyond the personal guarantee.</w:t>
      </w:r>
    </w:p>
    <w:p>
      <w:pPr>
        <w:spacing w:after="90"/>
      </w:pPr>
      <w:r>
        <w:t xml:space="preserve"/>
      </w:r>
    </w:p>
    <w:p>
      <w:pPr>
        <w:spacing w:after="130"/>
      </w:pPr>
      <w:r>
        <w:t xml:space="preserve">Seasonality and competitive pressure on the block constitute additional volume risks that cannot be quantified from available data. The plan assumes a seventh trading day in year two to offset summer-peak dependence, but this step has not yet been tested.</w:t>
      </w:r>
    </w:p>
    <w:p>
      <w:pPr>
        <w:spacing w:after="90"/>
      </w:pPr>
      <w:r>
        <w:t xml:space="preserve"/>
      </w:r>
    </w:p>
    <w:p>
      <w:pPr>
        <w:pStyle w:val="Heading1"/>
        <w:spacing w:after="140" w:before="320"/>
      </w:pPr>
      <w:r>
        <w:t xml:space="preserve">Assumptions Register</w:t>
      </w:r>
    </w:p>
    <w:p>
      <w:pPr>
        <w:spacing w:after="130"/>
      </w:pPr>
      <w:r>
        <w:t xml:space="preserve">Every figure below is either something you told us, something your documents confirmed, or a benchmark default with its source named. The last column is what happens if the assumption turns out 20% worse.</w:t>
      </w:r>
    </w:p>
    <w:p>
      <w:pPr>
        <w:spacing w:after="9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Assumption</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Source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If it is 20% worse</w:t>
            </w:r>
          </w:p>
        </w:tc>
      </w:tr>
      <w:tr>
        <w:tc>
          <w:tcPr>
            <w:tcW w:type="dxa" w:w="2340"/>
            <w:tcMar>
              <w:top w:type="dxa" w:w="50"/>
              <w:left w:type="dxa" w:w="80"/>
              <w:bottom w:type="dxa" w:w="50"/>
              <w:right w:type="dxa" w:w="80"/>
            </w:tcMar>
          </w:tcPr>
          <w:p>
            <w:pPr>
              <w:spacing w:after="0"/>
              <w:jc w:val="left"/>
            </w:pPr>
            <w:r>
              <w:rPr>
                <w:sz w:val="17"/>
                <w:szCs w:val="17"/>
              </w:rPr>
              <w:t xml:space="preserve">What will you charge for one unit?</w:t>
            </w:r>
          </w:p>
        </w:tc>
        <w:tc>
          <w:tcPr>
            <w:tcW w:type="dxa" w:w="2340"/>
            <w:tcMar>
              <w:top w:type="dxa" w:w="50"/>
              <w:left w:type="dxa" w:w="80"/>
              <w:bottom w:type="dxa" w:w="50"/>
              <w:right w:type="dxa" w:w="80"/>
            </w:tcMar>
          </w:tcPr>
          <w:p>
            <w:pPr>
              <w:spacing w:after="0"/>
              <w:jc w:val="right"/>
            </w:pPr>
            <w:r>
              <w:rPr>
                <w:sz w:val="17"/>
                <w:szCs w:val="17"/>
              </w:rPr>
              <w:t xml:space="preserve">37</w:t>
            </w:r>
          </w:p>
        </w:tc>
        <w:tc>
          <w:tcPr>
            <w:tcW w:type="dxa" w:w="2340"/>
            <w:tcMar>
              <w:top w:type="dxa" w:w="50"/>
              <w:left w:type="dxa" w:w="80"/>
              <w:bottom w:type="dxa" w:w="50"/>
              <w:right w:type="dxa" w:w="80"/>
            </w:tcMar>
          </w:tcPr>
          <w:p>
            <w:pPr>
              <w:spacing w:after="0"/>
              <w:jc w:val="right"/>
            </w:pPr>
            <w:r>
              <w:rPr>
                <w:sz w:val="17"/>
                <w:szCs w:val="17"/>
              </w:rPr>
              <w:t xml:space="preserve">Provided by the operator</w:t>
            </w:r>
          </w:p>
        </w:tc>
        <w:tc>
          <w:tcPr>
            <w:tcW w:type="dxa" w:w="2340"/>
            <w:tcMar>
              <w:top w:type="dxa" w:w="50"/>
              <w:left w:type="dxa" w:w="80"/>
              <w:bottom w:type="dxa" w:w="50"/>
              <w:right w:type="dxa" w:w="80"/>
            </w:tcMar>
          </w:tcPr>
          <w:p>
            <w:pPr>
              <w:spacing w:after="0"/>
              <w:jc w:val="right"/>
            </w:pPr>
            <w:r>
              <w:rPr>
                <w:sz w:val="17"/>
                <w:szCs w:val="17"/>
              </w:rPr>
              <w:t xml:space="preserve">DSCR 1.47 → -2.54; cash low point $-90,891</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What does it cost you in materials and direct labour to deliver ONE unit?</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11.1</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Provided by the operator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DSCR 1.47 → 0.27; cash low point $-4,281</w:t>
            </w:r>
          </w:p>
        </w:tc>
      </w:tr>
      <w:tr>
        <w:tc>
          <w:tcPr>
            <w:tcW w:type="dxa" w:w="2340"/>
            <w:tcMar>
              <w:top w:type="dxa" w:w="50"/>
              <w:left w:type="dxa" w:w="80"/>
              <w:bottom w:type="dxa" w:w="50"/>
              <w:right w:type="dxa" w:w="80"/>
            </w:tcMar>
          </w:tcPr>
          <w:p>
            <w:pPr>
              <w:spacing w:after="0"/>
              <w:jc w:val="left"/>
            </w:pPr>
            <w:r>
              <w:rPr>
                <w:sz w:val="17"/>
                <w:szCs w:val="17"/>
              </w:rPr>
              <w:t xml:space="preserve">And once you are established — units per month?</w:t>
            </w:r>
          </w:p>
        </w:tc>
        <w:tc>
          <w:tcPr>
            <w:tcW w:type="dxa" w:w="2340"/>
            <w:tcMar>
              <w:top w:type="dxa" w:w="50"/>
              <w:left w:type="dxa" w:w="80"/>
              <w:bottom w:type="dxa" w:w="50"/>
              <w:right w:type="dxa" w:w="80"/>
            </w:tcMar>
          </w:tcPr>
          <w:p>
            <w:pPr>
              <w:spacing w:after="0"/>
              <w:jc w:val="right"/>
            </w:pPr>
            <w:r>
              <w:rPr>
                <w:sz w:val="17"/>
                <w:szCs w:val="17"/>
              </w:rPr>
              <w:t xml:space="preserve">2600</w:t>
            </w:r>
          </w:p>
        </w:tc>
        <w:tc>
          <w:tcPr>
            <w:tcW w:type="dxa" w:w="2340"/>
            <w:tcMar>
              <w:top w:type="dxa" w:w="50"/>
              <w:left w:type="dxa" w:w="80"/>
              <w:bottom w:type="dxa" w:w="50"/>
              <w:right w:type="dxa" w:w="80"/>
            </w:tcMar>
          </w:tcPr>
          <w:p>
            <w:pPr>
              <w:spacing w:after="0"/>
              <w:jc w:val="right"/>
            </w:pPr>
            <w:r>
              <w:rPr>
                <w:sz w:val="17"/>
                <w:szCs w:val="17"/>
              </w:rPr>
              <w:t xml:space="preserve">Provided by the operator</w:t>
            </w:r>
          </w:p>
        </w:tc>
        <w:tc>
          <w:tcPr>
            <w:tcW w:type="dxa" w:w="2340"/>
            <w:tcMar>
              <w:top w:type="dxa" w:w="50"/>
              <w:left w:type="dxa" w:w="80"/>
              <w:bottom w:type="dxa" w:w="50"/>
              <w:right w:type="dxa" w:w="80"/>
            </w:tcMar>
          </w:tcPr>
          <w:p>
            <w:pPr>
              <w:spacing w:after="0"/>
              <w:jc w:val="right"/>
            </w:pPr>
            <w:r>
              <w:rPr>
                <w:sz w:val="17"/>
                <w:szCs w:val="17"/>
              </w:rPr>
              <w:t xml:space="preserve">DSCR 1.47 → -0.75; cash low point $-13,143</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Monthly payroll (excluding you)?</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27200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Provided by the operator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DSCR 1.47 → -0.03; cash low point $-14,762</w:t>
            </w:r>
          </w:p>
        </w:tc>
      </w:tr>
      <w:tr>
        <w:tc>
          <w:tcPr>
            <w:tcW w:type="dxa" w:w="2340"/>
            <w:tcMar>
              <w:top w:type="dxa" w:w="50"/>
              <w:left w:type="dxa" w:w="80"/>
              <w:bottom w:type="dxa" w:w="50"/>
              <w:right w:type="dxa" w:w="80"/>
            </w:tcMar>
          </w:tcPr>
          <w:p>
            <w:pPr>
              <w:spacing w:after="0"/>
              <w:jc w:val="left"/>
            </w:pPr>
            <w:r>
              <w:rPr>
                <w:sz w:val="17"/>
                <w:szCs w:val="17"/>
              </w:rPr>
              <w:t xml:space="preserve">What is the monthly rent?</w:t>
            </w:r>
          </w:p>
        </w:tc>
        <w:tc>
          <w:tcPr>
            <w:tcW w:type="dxa" w:w="2340"/>
            <w:tcMar>
              <w:top w:type="dxa" w:w="50"/>
              <w:left w:type="dxa" w:w="80"/>
              <w:bottom w:type="dxa" w:w="50"/>
              <w:right w:type="dxa" w:w="80"/>
            </w:tcMar>
          </w:tcPr>
          <w:p>
            <w:pPr>
              <w:spacing w:after="0"/>
              <w:jc w:val="right"/>
            </w:pPr>
            <w:r>
              <w:rPr>
                <w:sz w:val="17"/>
                <w:szCs w:val="17"/>
              </w:rPr>
              <w:t xml:space="preserve">6900</w:t>
            </w:r>
          </w:p>
        </w:tc>
        <w:tc>
          <w:tcPr>
            <w:tcW w:type="dxa" w:w="2340"/>
            <w:tcMar>
              <w:top w:type="dxa" w:w="50"/>
              <w:left w:type="dxa" w:w="80"/>
              <w:bottom w:type="dxa" w:w="50"/>
              <w:right w:type="dxa" w:w="80"/>
            </w:tcMar>
          </w:tcPr>
          <w:p>
            <w:pPr>
              <w:spacing w:after="0"/>
              <w:jc w:val="right"/>
            </w:pPr>
            <w:r>
              <w:rPr>
                <w:sz w:val="17"/>
                <w:szCs w:val="17"/>
              </w:rPr>
              <w:t xml:space="preserve">Confirmed from your lease</w:t>
            </w:r>
          </w:p>
        </w:tc>
        <w:tc>
          <w:tcPr>
            <w:tcW w:type="dxa" w:w="2340"/>
            <w:tcMar>
              <w:top w:type="dxa" w:w="50"/>
              <w:left w:type="dxa" w:w="80"/>
              <w:bottom w:type="dxa" w:w="50"/>
              <w:right w:type="dxa" w:w="80"/>
            </w:tcMar>
          </w:tcPr>
          <w:p>
            <w:pPr>
              <w:spacing w:after="0"/>
              <w:jc w:val="right"/>
            </w:pPr>
            <w:r>
              <w:rPr>
                <w:sz w:val="17"/>
                <w:szCs w:val="17"/>
              </w:rPr>
              <w:t xml:space="preserve">DSCR 1.47 → 1.09; cash low point $4,460</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Cost of goods as % of revenue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30.0%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Industry band 28–35% — National Restaurant Association, industry operations reporting, 2025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Inside the band</w:t>
            </w:r>
          </w:p>
        </w:tc>
      </w:tr>
      <w:tr>
        <w:tc>
          <w:tcPr>
            <w:tcW w:type="dxa" w:w="2340"/>
            <w:tcMar>
              <w:top w:type="dxa" w:w="50"/>
              <w:left w:type="dxa" w:w="80"/>
              <w:bottom w:type="dxa" w:w="50"/>
              <w:right w:type="dxa" w:w="80"/>
            </w:tcMar>
          </w:tcPr>
          <w:p>
            <w:pPr>
              <w:spacing w:after="0"/>
              <w:jc w:val="left"/>
            </w:pPr>
            <w:r>
              <w:rPr>
                <w:sz w:val="17"/>
                <w:szCs w:val="17"/>
              </w:rPr>
              <w:t xml:space="preserve">Rent as % of revenue</w:t>
            </w:r>
          </w:p>
        </w:tc>
        <w:tc>
          <w:tcPr>
            <w:tcW w:type="dxa" w:w="2340"/>
            <w:tcMar>
              <w:top w:type="dxa" w:w="50"/>
              <w:left w:type="dxa" w:w="80"/>
              <w:bottom w:type="dxa" w:w="50"/>
              <w:right w:type="dxa" w:w="80"/>
            </w:tcMar>
          </w:tcPr>
          <w:p>
            <w:pPr>
              <w:spacing w:after="0"/>
              <w:jc w:val="right"/>
            </w:pPr>
            <w:r>
              <w:rPr>
                <w:sz w:val="17"/>
                <w:szCs w:val="17"/>
              </w:rPr>
              <w:t xml:space="preserve">7.2%</w:t>
            </w:r>
          </w:p>
        </w:tc>
        <w:tc>
          <w:tcPr>
            <w:tcW w:type="dxa" w:w="2340"/>
            <w:tcMar>
              <w:top w:type="dxa" w:w="50"/>
              <w:left w:type="dxa" w:w="80"/>
              <w:bottom w:type="dxa" w:w="50"/>
              <w:right w:type="dxa" w:w="80"/>
            </w:tcMar>
          </w:tcPr>
          <w:p>
            <w:pPr>
              <w:spacing w:after="0"/>
              <w:jc w:val="right"/>
            </w:pPr>
            <w:r>
              <w:rPr>
                <w:sz w:val="17"/>
                <w:szCs w:val="17"/>
              </w:rPr>
              <w:t xml:space="preserve">Industry band 6–10% — National Restaurant Association, industry operations reporting, 2025</w:t>
            </w:r>
          </w:p>
        </w:tc>
        <w:tc>
          <w:tcPr>
            <w:tcW w:type="dxa" w:w="2340"/>
            <w:tcMar>
              <w:top w:type="dxa" w:w="50"/>
              <w:left w:type="dxa" w:w="80"/>
              <w:bottom w:type="dxa" w:w="50"/>
              <w:right w:type="dxa" w:w="80"/>
            </w:tcMar>
          </w:tcPr>
          <w:p>
            <w:pPr>
              <w:spacing w:after="0"/>
              <w:jc w:val="right"/>
            </w:pPr>
            <w:r>
              <w:rPr>
                <w:sz w:val="17"/>
                <w:szCs w:val="17"/>
              </w:rPr>
              <w:t xml:space="preserve">Inside the band</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Payroll as % of revenue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28.3%</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Industry band 28–36% — US Bureau of Labor Statistics, Current Employment Statistics, 2025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Inside the band</w:t>
            </w:r>
          </w:p>
        </w:tc>
      </w:tr>
    </w:tbl>
    <w:p>
      <w:pPr>
        <w:spacing w:after="140"/>
      </w:pPr>
      <w:r>
        <w:t xml:space="preserve"/>
      </w:r>
    </w:p>
    <w:p>
      <w:pPr>
        <w:spacing w:after="90"/>
      </w:pPr>
      <w:r>
        <w:t xml:space="preserve"/>
      </w:r>
    </w:p>
    <w:p>
      <w:pPr>
        <w:pStyle w:val="Heading1"/>
        <w:spacing w:after="140" w:before="320"/>
      </w:pPr>
      <w:r>
        <w:t xml:space="preserve">What To Bring To The Meeting</w:t>
      </w:r>
    </w:p>
    <w:p>
      <w:pPr>
        <w:spacing w:after="130"/>
      </w:pPr>
      <w:r>
        <w:rPr>
          <w:b/>
          <w:bCs/>
        </w:rPr>
        <w:t xml:space="preserve">Already provided</w:t>
      </w:r>
    </w:p>
    <w:p>
      <w:pPr>
        <w:pStyle w:val="ListParagraph"/>
        <w:numPr>
          <w:ilvl w:val="0"/>
          <w:numId w:val="2"/>
        </w:numPr>
        <w:spacing w:after="70"/>
      </w:pPr>
      <w:r>
        <w:t xml:space="preserve">lease</w:t>
      </w:r>
    </w:p>
    <w:p>
      <w:pPr>
        <w:pStyle w:val="ListParagraph"/>
        <w:numPr>
          <w:ilvl w:val="0"/>
          <w:numId w:val="2"/>
        </w:numPr>
        <w:spacing w:after="70"/>
      </w:pPr>
      <w:r>
        <w:t xml:space="preserve">bank statement</w:t>
      </w:r>
    </w:p>
    <w:p>
      <w:pPr>
        <w:pStyle w:val="ListParagraph"/>
        <w:numPr>
          <w:ilvl w:val="0"/>
          <w:numId w:val="2"/>
        </w:numPr>
        <w:spacing w:after="70"/>
      </w:pPr>
      <w:r>
        <w:t xml:space="preserve">supplier quote</w:t>
      </w:r>
    </w:p>
    <w:p>
      <w:pPr>
        <w:pStyle w:val="ListParagraph"/>
        <w:numPr>
          <w:ilvl w:val="0"/>
          <w:numId w:val="2"/>
        </w:numPr>
        <w:spacing w:after="70"/>
      </w:pPr>
      <w:r>
        <w:t xml:space="preserve">licence copy</w:t>
      </w:r>
    </w:p>
    <w:p>
      <w:pPr>
        <w:spacing w:after="90"/>
      </w:pPr>
      <w:r>
        <w:t xml:space="preserve"/>
      </w:r>
    </w:p>
    <w:p>
      <w:pPr>
        <w:spacing w:after="130"/>
      </w:pPr>
      <w:r>
        <w:rPr>
          <w:b/>
          <w:bCs/>
        </w:rPr>
        <w:t xml:space="preserve">Still outstanding — take these to the meeting</w:t>
      </w:r>
    </w:p>
    <w:p>
      <w:pPr>
        <w:pStyle w:val="ListParagraph"/>
        <w:numPr>
          <w:ilvl w:val="0"/>
          <w:numId w:val="2"/>
        </w:numPr>
        <w:spacing w:after="70"/>
      </w:pPr>
      <w:r>
        <w:t xml:space="preserve">Trailing 12-month financials</w:t>
      </w:r>
    </w:p>
    <w:p>
      <w:pPr>
        <w:pStyle w:val="ListParagraph"/>
        <w:numPr>
          <w:ilvl w:val="0"/>
          <w:numId w:val="2"/>
        </w:numPr>
        <w:spacing w:after="70"/>
      </w:pPr>
      <w:r>
        <w:t xml:space="preserve">Personal financial statement</w:t>
      </w:r>
    </w:p>
    <w:p>
      <w:pPr>
        <w:pStyle w:val="ListParagraph"/>
        <w:numPr>
          <w:ilvl w:val="0"/>
          <w:numId w:val="2"/>
        </w:numPr>
        <w:spacing w:after="70"/>
      </w:pPr>
      <w:r>
        <w:t xml:space="preserve">Résumé</w:t>
      </w:r>
    </w:p>
    <w:p>
      <w:pPr>
        <w:spacing w:after="90"/>
      </w:pPr>
      <w:r>
        <w:t xml:space="preserve"/>
      </w:r>
    </w:p>
    <w:p>
      <w:pPr>
        <w:spacing w:after="130"/>
      </w:pPr>
      <w:r>
        <w:rPr>
          <w:i/>
          <w:iCs/>
          <w:color w:val="5A5A5A"/>
        </w:rPr>
        <w:t xml:space="preserve">Consistency between the documents you provide and your plan is checked; authenticity is not.</w:t>
      </w:r>
    </w:p>
    <w:p>
      <w:pPr>
        <w:spacing w:after="90"/>
      </w:pPr>
      <w:r>
        <w:t xml:space="preserve"/>
      </w:r>
    </w:p>
    <w:sectPr>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line="288"/>
      </w:pPr>
    </w:pPrDefault>
  </w:docDefaults>
  <w:style w:type="paragraph" w:styleId="Title">
    <w:name w:val="Title"/>
    <w:basedOn w:val="Normal"/>
    <w:next w:val="Normal"/>
    <w:qFormat/>
    <w:rPr>
      <w:rFonts w:ascii="Calibri" w:cs="Calibri" w:eastAsia="Calibri" w:hAnsi="Calibri"/>
      <w:b/>
      <w:bCs/>
      <w:color w:val="0F4C5C"/>
      <w:sz w:val="44"/>
      <w:szCs w:val="44"/>
    </w:rPr>
  </w:style>
  <w:style w:type="paragraph" w:styleId="Heading1">
    <w:name w:val="Heading 1"/>
    <w:basedOn w:val="Normal"/>
    <w:next w:val="Normal"/>
    <w:qFormat/>
    <w:rPr>
      <w:rFonts w:ascii="Calibri" w:cs="Calibri" w:eastAsia="Calibri" w:hAnsi="Calibri"/>
      <w:b/>
      <w:bCs/>
      <w:color w:val="0F4C5C"/>
      <w:sz w:val="30"/>
      <w:szCs w:val="30"/>
    </w:rPr>
  </w:style>
  <w:style w:type="paragraph" w:styleId="Heading2">
    <w:name w:val="Heading 2"/>
    <w:basedOn w:val="Normal"/>
    <w:next w:val="Normal"/>
    <w:qFormat/>
    <w:rPr>
      <w:rFonts w:ascii="Calibri" w:cs="Calibri" w:eastAsia="Calibri" w:hAnsi="Calibri"/>
      <w:b/>
      <w:bCs/>
      <w:color w:val="2E2E2E"/>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Cedar &amp; Vine</dc:title>
  <dc:creator>Percision</dc:creator>
  <cp:lastModifiedBy>Un-named</cp:lastModifiedBy>
  <cp:revision>1</cp:revision>
  <dcterms:created xsi:type="dcterms:W3CDTF">2026-08-19T02:28:48.659Z</dcterms:created>
  <dcterms:modified xsi:type="dcterms:W3CDTF">2026-08-19T02:28:48.659Z</dcterms:modified>
</cp:coreProperties>
</file>

<file path=docProps/custom.xml><?xml version="1.0" encoding="utf-8"?>
<Properties xmlns="http://schemas.openxmlformats.org/officeDocument/2006/custom-properties" xmlns:vt="http://schemas.openxmlformats.org/officeDocument/2006/docPropsVTypes"/>
</file>