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60"/>
      </w:pPr>
      <w:r>
        <w:t xml:space="preserve">Harbor Lane Coffee — Business Plan</w:t>
      </w:r>
    </w:p>
    <w:p>
      <w:pPr>
        <w:spacing w:after="130"/>
      </w:pPr>
      <w:r>
        <w:rPr>
          <w:i/>
          <w:iCs/>
          <w:color w:val="5A5A5A"/>
        </w:rPr>
        <w:t xml:space="preserve">Prepared for: Bank underwriter under SBA SOP. Format: SBA 7(a) / microloan.</w:t>
      </w:r>
    </w:p>
    <w:p>
      <w:pPr>
        <w:spacing w:after="90"/>
      </w:pPr>
      <w:r>
        <w:t xml:space="preserve"/>
      </w:r>
    </w:p>
    <w:p>
      <w:pPr>
        <w:pStyle w:val="Heading1"/>
        <w:spacing w:after="140" w:before="320"/>
      </w:pPr>
      <w:r>
        <w:t xml:space="preserve">Headline Numbers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Metric</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Value</w:t>
            </w:r>
          </w:p>
        </w:tc>
      </w:tr>
      <w:tr>
        <w:tc>
          <w:tcPr>
            <w:tcW w:type="dxa" w:w="4680"/>
            <w:tcMar>
              <w:top w:type="dxa" w:w="50"/>
              <w:left w:type="dxa" w:w="80"/>
              <w:bottom w:type="dxa" w:w="50"/>
              <w:right w:type="dxa" w:w="80"/>
            </w:tcMar>
          </w:tcPr>
          <w:p>
            <w:pPr>
              <w:spacing w:after="0"/>
              <w:jc w:val="left"/>
            </w:pPr>
            <w:r>
              <w:rPr>
                <w:sz w:val="17"/>
                <w:szCs w:val="17"/>
              </w:rPr>
              <w:t xml:space="preserve">Total startup requirement</w:t>
            </w:r>
          </w:p>
        </w:tc>
        <w:tc>
          <w:tcPr>
            <w:tcW w:type="dxa" w:w="4680"/>
            <w:tcMar>
              <w:top w:type="dxa" w:w="50"/>
              <w:left w:type="dxa" w:w="80"/>
              <w:bottom w:type="dxa" w:w="50"/>
              <w:right w:type="dxa" w:w="80"/>
            </w:tcMar>
          </w:tcPr>
          <w:p>
            <w:pPr>
              <w:spacing w:after="0"/>
              <w:jc w:val="right"/>
            </w:pPr>
            <w:r>
              <w:rPr>
                <w:sz w:val="17"/>
                <w:szCs w:val="17"/>
              </w:rPr>
              <w:t xml:space="preserve">$128,000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Owner injection</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$42,000 (32.8% of project cost)</w:t>
            </w:r>
          </w:p>
        </w:tc>
      </w:tr>
      <w:tr>
        <w:tc>
          <w:tcPr>
            <w:tcW w:type="dxa" w:w="4680"/>
            <w:tcMar>
              <w:top w:type="dxa" w:w="50"/>
              <w:left w:type="dxa" w:w="80"/>
              <w:bottom w:type="dxa" w:w="50"/>
              <w:right w:type="dxa" w:w="80"/>
            </w:tcMar>
          </w:tcPr>
          <w:p>
            <w:pPr>
              <w:spacing w:after="0"/>
              <w:jc w:val="left"/>
            </w:pPr>
            <w:r>
              <w:rPr>
                <w:sz w:val="17"/>
                <w:szCs w:val="17"/>
              </w:rPr>
              <w:t xml:space="preserve">Loan requested</w:t>
            </w:r>
          </w:p>
        </w:tc>
        <w:tc>
          <w:tcPr>
            <w:tcW w:type="dxa" w:w="4680"/>
            <w:tcMar>
              <w:top w:type="dxa" w:w="50"/>
              <w:left w:type="dxa" w:w="80"/>
              <w:bottom w:type="dxa" w:w="50"/>
              <w:right w:type="dxa" w:w="80"/>
            </w:tcMar>
          </w:tcPr>
          <w:p>
            <w:pPr>
              <w:spacing w:after="0"/>
              <w:jc w:val="right"/>
            </w:pPr>
            <w:r>
              <w:rPr>
                <w:sz w:val="17"/>
                <w:szCs w:val="17"/>
              </w:rPr>
              <w:t xml:space="preserve">$118,000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Monthly debt service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$1,642</w:t>
            </w:r>
          </w:p>
        </w:tc>
      </w:tr>
      <w:tr>
        <w:tc>
          <w:tcPr>
            <w:tcW w:type="dxa" w:w="4680"/>
            <w:tcMar>
              <w:top w:type="dxa" w:w="50"/>
              <w:left w:type="dxa" w:w="80"/>
              <w:bottom w:type="dxa" w:w="50"/>
              <w:right w:type="dxa" w:w="80"/>
            </w:tcMar>
          </w:tcPr>
          <w:p>
            <w:pPr>
              <w:spacing w:after="0"/>
              <w:jc w:val="left"/>
            </w:pPr>
            <w:r>
              <w:rPr>
                <w:sz w:val="17"/>
                <w:szCs w:val="17"/>
              </w:rPr>
              <w:t xml:space="preserve">Year-1 revenue</w:t>
            </w:r>
          </w:p>
        </w:tc>
        <w:tc>
          <w:tcPr>
            <w:tcW w:type="dxa" w:w="4680"/>
            <w:tcMar>
              <w:top w:type="dxa" w:w="50"/>
              <w:left w:type="dxa" w:w="80"/>
              <w:bottom w:type="dxa" w:w="50"/>
              <w:right w:type="dxa" w:w="80"/>
            </w:tcMar>
          </w:tcPr>
          <w:p>
            <w:pPr>
              <w:spacing w:after="0"/>
              <w:jc w:val="right"/>
            </w:pPr>
            <w:r>
              <w:rPr>
                <w:sz w:val="17"/>
                <w:szCs w:val="17"/>
              </w:rPr>
              <w:t xml:space="preserve">$444,678</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Break-even volume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4,487 units/month</w:t>
            </w:r>
          </w:p>
        </w:tc>
      </w:tr>
      <w:tr>
        <w:tc>
          <w:tcPr>
            <w:tcW w:type="dxa" w:w="4680"/>
            <w:tcMar>
              <w:top w:type="dxa" w:w="50"/>
              <w:left w:type="dxa" w:w="80"/>
              <w:bottom w:type="dxa" w:w="50"/>
              <w:right w:type="dxa" w:w="80"/>
            </w:tcMar>
          </w:tcPr>
          <w:p>
            <w:pPr>
              <w:spacing w:after="0"/>
              <w:jc w:val="left"/>
            </w:pPr>
            <w:r>
              <w:rPr>
                <w:sz w:val="17"/>
                <w:szCs w:val="17"/>
              </w:rPr>
              <w:t xml:space="preserve">Cash low point</w:t>
            </w:r>
          </w:p>
        </w:tc>
        <w:tc>
          <w:tcPr>
            <w:tcW w:type="dxa" w:w="4680"/>
            <w:tcMar>
              <w:top w:type="dxa" w:w="50"/>
              <w:left w:type="dxa" w:w="80"/>
              <w:bottom w:type="dxa" w:w="50"/>
              <w:right w:type="dxa" w:w="80"/>
            </w:tcMar>
          </w:tcPr>
          <w:p>
            <w:pPr>
              <w:spacing w:after="0"/>
              <w:jc w:val="right"/>
            </w:pPr>
            <w:r>
              <w:rPr>
                <w:sz w:val="17"/>
                <w:szCs w:val="17"/>
              </w:rPr>
              <w:t xml:space="preserve">$46,260 in month 5</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Year-1 DSCR</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1.92 (floor 1.25)</w:t>
            </w:r>
          </w:p>
        </w:tc>
      </w:tr>
    </w:tbl>
    <w:p>
      <w:pPr>
        <w:spacing w:after="140"/>
      </w:pPr>
      <w:r>
        <w:t xml:space="preserve"/>
      </w:r>
    </w:p>
    <w:p>
      <w:pPr>
        <w:spacing w:after="90"/>
      </w:pPr>
      <w:r>
        <w:t xml:space="preserve"/>
      </w:r>
    </w:p>
    <w:p>
      <w:pPr>
        <w:pStyle w:val="Heading1"/>
        <w:spacing w:after="140" w:before="320"/>
      </w:pPr>
      <w:r>
        <w:t xml:space="preserve">Executive Summary</w:t>
      </w:r>
    </w:p>
    <w:p>
      <w:pPr>
        <w:spacing w:after="130"/>
      </w:pPr>
      <w:r>
        <w:t xml:space="preserve">Harbor Lane Coffee LLC is an Oregon limited liability company formed on April 2, 2026, to operate a single walk-in espresso bar at a leased corner location in inner southeast Portland. The two owners, Dana Whitfield (70 percent) and Marcus Oyelaran (30 percent), will run the business full time. Whitfield has nine years of specialty-coffee experience, including four years as café manager with full P&amp;L responsibility at a two-site independent operator.</w:t>
      </w:r>
    </w:p>
    <w:p>
      <w:pPr>
        <w:spacing w:after="90"/>
      </w:pPr>
      <w:r>
        <w:t xml:space="preserve"/>
      </w:r>
    </w:p>
    <w:p>
      <w:pPr>
        <w:spacing w:after="130"/>
      </w:pPr>
      <w:r>
        <w:t xml:space="preserve">The unit sells espresso drinks (62 percent of revenue), pastries and light food (28 percent), and retail beans or merchandise (10 percent) at an average transaction value of $7.80. Steady-state volume is projected at 6,200 transactions per month across 26 operating days, producing monthly revenue of $48,360 and first-year revenue of $444,678. Contribution margin per unit is $5.75. Fixed monthly operating expenses total $24,157. The plan shows break-even at month 6, cash trough of $46,259.80 at month 5, and debt-service coverage ratios of 1.92 in year 1, 2.19 in year 2, and 2.37 in year 3.</w:t>
      </w:r>
    </w:p>
    <w:p>
      <w:pPr>
        <w:spacing w:after="90"/>
      </w:pPr>
      <w:r>
        <w:t xml:space="preserve"/>
      </w:r>
    </w:p>
    <w:p>
      <w:pPr>
        <w:spacing w:after="130"/>
      </w:pPr>
      <w:r>
        <w:t xml:space="preserve">The $118,000 loan request, combined with $42,000 owner equity, funds $94,000 in startup capital expenditures, $24,000 in working capital, and the balance of opening costs. Collateral consists of the espresso equipment, refrigeration, fit-out, and a 2021 personal vehicle. The lease is five years with a personal guarantee and 3 percent annual escalation. A local CPA has been retained at $280 per month for bookkeeping from the first month.</w:t>
      </w:r>
    </w:p>
    <w:p>
      <w:pPr>
        <w:spacing w:after="90"/>
      </w:pPr>
      <w:r>
        <w:t xml:space="preserve"/>
      </w:r>
    </w:p>
    <w:p>
      <w:pPr>
        <w:spacing w:after="130"/>
      </w:pPr>
      <w:r>
        <w:t xml:space="preserve">The operator has contracted for all required food-handler licensing and confirmed zoning compliance. No prior defaults, bankruptcies, or credit issues are reported. The plan assumes no change in milk or bean costs beyond the stated unit variable cost of $2.05 and contains no sensitivity analysis on those inputs.</w:t>
      </w:r>
    </w:p>
    <w:p>
      <w:pPr>
        <w:spacing w:after="90"/>
      </w:pPr>
      <w:r>
        <w:t xml:space="preserve"/>
      </w:r>
    </w:p>
    <w:p>
      <w:pPr>
        <w:pStyle w:val="Heading1"/>
        <w:spacing w:after="140" w:before="320"/>
      </w:pPr>
      <w:r>
        <w:t xml:space="preserve">Company Description</w:t>
      </w:r>
    </w:p>
    <w:p>
      <w:pPr>
        <w:spacing w:after="130"/>
      </w:pPr>
      <w:r>
        <w:t xml:space="preserve">Harbor Lane Coffee LLC is an Oregon limited liability company formed on April 2, 2026, with its principal place of business in Portland. The entity is owned 70 percent by Dana Whitfield and 30 percent by Marcus Oyelaran. It will conduct business as a single-unit neighborhood espresso bar located in a leased corner space on a bike-commuter arterial in inner southeast Portland. The unit includes seating for 18 and operates under a five-year lease with a personal guarantee.</w:t>
      </w:r>
    </w:p>
    <w:p>
      <w:pPr>
        <w:spacing w:after="90"/>
      </w:pPr>
      <w:r>
        <w:t xml:space="preserve"/>
      </w:r>
    </w:p>
    <w:p>
      <w:pPr>
        <w:spacing w:after="130"/>
      </w:pPr>
      <w:r>
        <w:t xml:space="preserve">The business will sell espresso drinks, pastries and light food items, and retail beans and merchandise through walk-in transactions only. Planned operating hours are ten per day, 26 days per month. Capacity is defined by three baristas during the morning period and two thereafter. One key staff member will serve as lead barista and opening supervisor. The operators hold nine years of combined experience in specialty coffee, including barista, lead barista, and café management roles with full P&amp;L responsibility at prior independent operations. Oregon food handler cards are in place through 2028. Bookkeeping services have been contracted to a local CPA on a monthly basis from the first month of operations.</w:t>
      </w:r>
    </w:p>
    <w:p>
      <w:pPr>
        <w:spacing w:after="90"/>
      </w:pPr>
      <w:r>
        <w:t xml:space="preserve"/>
      </w:r>
    </w:p>
    <w:p>
      <w:pPr>
        <w:spacing w:after="130"/>
      </w:pPr>
      <w:r>
        <w:t xml:space="preserve">Zoning confirmation has been obtained for the site. Required licenses are in various stages of application or held, and insurance quotations have been secured. The catchment includes approximately 9,400 residents within a ten-minute walk, plus nearby co-working space and a design studio. A prior eleven-week pop-up on the same corner recorded average daily transactions of 118 under a temporary permit.</w:t>
      </w:r>
    </w:p>
    <w:p>
      <w:pPr>
        <w:spacing w:after="90"/>
      </w:pPr>
      <w:r>
        <w:t xml:space="preserve"/>
      </w:r>
    </w:p>
    <w:p>
      <w:pPr>
        <w:pStyle w:val="Heading1"/>
        <w:spacing w:after="140" w:before="320"/>
      </w:pPr>
      <w:r>
        <w:t xml:space="preserve">Products and Services</w:t>
      </w:r>
    </w:p>
    <w:p>
      <w:pPr>
        <w:spacing w:after="130"/>
      </w:pPr>
      <w:r>
        <w:t xml:space="preserve">Harbor Lane Coffee LLC will generate revenue through three product lines sold at a single leased location in Portland. Espresso drinks are projected to account for 62 percent of transactions, pastries and light food for 28 percent, and retail beans and merchandise for 10 percent. Each transaction is defined as one drink, accompanied by a food item in roughly half of all cases, producing an average transaction value of 7.8. The contribution margin per transaction is 5.75.</w:t>
      </w:r>
    </w:p>
    <w:p>
      <w:pPr>
        <w:spacing w:after="90"/>
      </w:pPr>
      <w:r>
        <w:t xml:space="preserve"/>
      </w:r>
    </w:p>
    <w:p>
      <w:pPr>
        <w:spacing w:after="130"/>
      </w:pPr>
      <w:r>
        <w:t xml:space="preserve">Daily operations will run ten hours across twenty-six days per month. Peak capacity is set at 7,800 transactions per month, achieved with three baristas during the morning rush at approximately 55 transactions per hour before reducing to two baristas for the balance of the day. Steady-state volume is modeled at 6,200 transactions per month, yielding monthly revenue of 48,360 and first-year revenue of 444,678. The plan incorporates a winter peak with the lowest month reaching 82 percent of peak volume.</w:t>
      </w:r>
    </w:p>
    <w:p>
      <w:pPr>
        <w:spacing w:after="90"/>
      </w:pPr>
      <w:r>
        <w:t xml:space="preserve"/>
      </w:r>
    </w:p>
    <w:p>
      <w:pPr>
        <w:spacing w:after="130"/>
      </w:pPr>
      <w:r>
        <w:t xml:space="preserve">The product mix supports a convenience positioning by combining beverages with food attachment to increase average ticket size rather than relying on price increases. Revenue is expected to grow 14 percent in year two and 8 percent in year three through the addition of a second grinder and a third morning barista in month fourteen, which raises peak-hour throughput without extending operating hours. All figures assume the stated utilization of 79 percent and repeat rate of 58 percent once the location reaches steady state.</w:t>
      </w:r>
    </w:p>
    <w:p>
      <w:pPr>
        <w:spacing w:after="90"/>
      </w:pPr>
      <w:r>
        <w:t xml:space="preserve"/>
      </w:r>
    </w:p>
    <w:p>
      <w:pPr>
        <w:pStyle w:val="Heading1"/>
        <w:spacing w:after="140" w:before="320"/>
      </w:pPr>
      <w:r>
        <w:t xml:space="preserve">Market Analysis</w:t>
      </w:r>
    </w:p>
    <w:p>
      <w:pPr>
        <w:spacing w:after="130"/>
      </w:pPr>
      <w:r>
        <w:t xml:space="preserve">The proposed site is a leased corner unit on a bike-commuter arterial in inner south-east Portland. The immediate catchment contains roughly 9,400 residents within a ten-minute walk plus two co-working floors and one 140-desk design studio within two blocks. Supporting evidence comes from an eleven-week weekend pop-up on the same corner in 2025 that averaged 118 transactions per day with only a sandwich board for promotion. A city bicycle counter two doors away records 2,600–3,100 weekday passes.</w:t>
      </w:r>
    </w:p>
    <w:p>
      <w:pPr>
        <w:spacing w:after="90"/>
      </w:pPr>
      <w:r>
        <w:t xml:space="preserve"/>
      </w:r>
    </w:p>
    <w:p>
      <w:pPr>
        <w:spacing w:after="130"/>
      </w:pPr>
      <w:r>
        <w:t xml:space="preserve">Three direct competitors are identified. Ridge &amp; Bean, four blocks north, has traded for eight years with established regulars but offers no seating and closes at 2pm. A third-wave bar on Division charges a higher average ticket yet sits a twelve-minute walk away and develops queues at peak times. A convenience-store self-serve option sets a low price floor but attracts a different customer segment.</w:t>
      </w:r>
    </w:p>
    <w:p>
      <w:pPr>
        <w:spacing w:after="90"/>
      </w:pPr>
      <w:r>
        <w:t xml:space="preserve"/>
      </w:r>
    </w:p>
    <w:p>
      <w:pPr>
        <w:spacing w:after="130"/>
      </w:pPr>
      <w:r>
        <w:t xml:space="preserve">The concept is positioned as the only sit-down outlet on this corner that remains open past 2pm, serving morning commuters and remote workers through the day. Product mix is weighted toward espresso drinks (62 percent), pastries and light food (28 percent), and retail beans and merchandise (10 percent). Industry day-part concentration means most volume occurs before 11am, so morning capacity rather than average capacity determines the ceiling. The operator’s nine years in specialty coffee, including prior full P&amp;L responsibility at a two-site operation, provides direct familiarity with local demand patterns and ticket-building through food attachment. Seasonality is expected to follow a winter-peak profile, with the lowest month reaching 82 percent of average volume. No broader market-size data or additional competitor counts are available in the supplied information.</w:t>
      </w:r>
    </w:p>
    <w:p>
      <w:pPr>
        <w:spacing w:after="90"/>
      </w:pPr>
      <w:r>
        <w:t xml:space="preserve"/>
      </w:r>
    </w:p>
    <w:p>
      <w:pPr>
        <w:pStyle w:val="Heading1"/>
        <w:spacing w:after="140" w:before="320"/>
      </w:pPr>
      <w:r>
        <w:t xml:space="preserve">Competitive Analysis</w:t>
      </w:r>
    </w:p>
    <w:p>
      <w:pPr>
        <w:spacing w:after="130"/>
      </w:pPr>
      <w:r>
        <w:t xml:space="preserve">The competitive set for Harbor Lane Coffee consists of an estimated four outlets within the catchment. Ridge &amp; Bean operates four blocks north at an average ticket of $6.75. It has traded for eight years with an established regular base, yet provides no seating and closes at 2pm. The Coava-style third-wave bar on Division lists an average ticket of $8.10. It is located a twelve-minute walk from the subject site and experiences queues during peak hours. A convenience-store self-serve option prices at $2.50 and serves a separate customer segment that establishes a price floor rather than direct competition.</w:t>
      </w:r>
    </w:p>
    <w:p>
      <w:pPr>
        <w:spacing w:after="90"/>
      </w:pPr>
      <w:r>
        <w:t xml:space="preserve"/>
      </w:r>
    </w:p>
    <w:p>
      <w:pPr>
        <w:spacing w:after="130"/>
      </w:pPr>
      <w:r>
        <w:t xml:space="preserve">Harbor Lane Coffee is positioned on convenience. It will be the only seated option on the immediate corner and the only outlet open past 2pm, aligning with the start of co-working traffic from the two floors and 140-desk studio located within two blocks. The 9,400 residents within a ten-minute walk and the weekday bicycle-counter volumes of 2,600–3,100 passes supply the footfall base. A prior eleven-week pop-up on the same corner recorded 118 transactions per day under a temporary permit with no paid marketing.</w:t>
      </w:r>
    </w:p>
    <w:p>
      <w:pPr>
        <w:spacing w:after="90"/>
      </w:pPr>
      <w:r>
        <w:t xml:space="preserve"/>
      </w:r>
    </w:p>
    <w:p>
      <w:pPr>
        <w:spacing w:after="130"/>
      </w:pPr>
      <w:r>
        <w:t xml:space="preserve">The operator’s nine years of specialty-coffee experience, including four years of full P&amp;L responsibility at a two-site independent, supplies operational familiarity with espresso service and day-part management. The plan does not project market-share gains beyond the observed pop-up volume and does not assume displacement of the listed competitors. Milk and bean cost movements remain unhedged and will be monitored through the contracted monthly accounting close.</w:t>
      </w:r>
    </w:p>
    <w:p>
      <w:pPr>
        <w:spacing w:after="90"/>
      </w:pPr>
      <w:r>
        <w:t xml:space="preserve"/>
      </w:r>
    </w:p>
    <w:p>
      <w:pPr>
        <w:pStyle w:val="Heading1"/>
        <w:spacing w:after="140" w:before="320"/>
      </w:pPr>
      <w:r>
        <w:t xml:space="preserve">Marketing and Sales Plan</w:t>
      </w:r>
    </w:p>
    <w:p>
      <w:pPr>
        <w:spacing w:after="130"/>
      </w:pPr>
      <w:r>
        <w:t xml:space="preserve">The plan relies on walk-in traffic from the corner location rather than paid acquisition. A ten-minute-walk catchment of 9,400 residents, two co-working floors, and a 140-desk design studio within two blocks supplies the primary daytime customer base. Weekday bicycle counts of 2,600–3,100 passes past the site and a documented eleven-week pop-up on the same corner that averaged 118 transactions daily without advertising beyond a sandwich board provide the only direct demand evidence cited.</w:t>
      </w:r>
    </w:p>
    <w:p>
      <w:pPr>
        <w:spacing w:after="90"/>
      </w:pPr>
      <w:r>
        <w:t xml:space="preserve"/>
      </w:r>
    </w:p>
    <w:p>
      <w:pPr>
        <w:spacing w:after="130"/>
      </w:pPr>
      <w:r>
        <w:t xml:space="preserve">Positioning centers on convenience: the only sit-down option at this intersection that remains open after 2 p.m., when co-working traffic increases. Morning volume is expected to concentrate before 11 a.m., consistent with day-part patterns in comparable operations, with espresso drinks accounting for 62 percent of units, pastries and light food 28 percent, and retail beans and merchandise 10 percent. Average transaction value is stated at 7.8. The operator projects a 58 percent repeat rate once steady state is reached, supported by seating for 18 and extended hours relative to the nearest established competitor four blocks north.</w:t>
      </w:r>
    </w:p>
    <w:p>
      <w:pPr>
        <w:spacing w:after="90"/>
      </w:pPr>
      <w:r>
        <w:t xml:space="preserve"/>
      </w:r>
    </w:p>
    <w:p>
      <w:pPr>
        <w:spacing w:after="130"/>
      </w:pPr>
      <w:r>
        <w:t xml:space="preserve">Sales execution is limited to counter service. No delivery or online channels are planned. Capacity is set at 7,800 transactions per month once two additional morning baristas and a second grinder are added in month 14, lifting the peak-hour constraint rather than extending operating hours. Seasonality is described as winter-peaking, with the lowest month at 82 percent of average. Marketing activity is confined to the site itself and basic local visibility; the $250 monthly line item covers only routine signage and supplies. No market-size claims or third-party research are provided beyond the pop-up results and footfall counter.</w:t>
      </w:r>
    </w:p>
    <w:p>
      <w:pPr>
        <w:spacing w:after="90"/>
      </w:pPr>
      <w:r>
        <w:t xml:space="preserve"/>
      </w:r>
    </w:p>
    <w:p>
      <w:pPr>
        <w:pStyle w:val="Heading1"/>
        <w:spacing w:after="140" w:before="320"/>
      </w:pPr>
      <w:r>
        <w:t xml:space="preserve">Operations Plan</w:t>
      </w:r>
    </w:p>
    <w:p>
      <w:pPr>
        <w:spacing w:after="130"/>
      </w:pPr>
      <w:r>
        <w:t xml:space="preserve">Harbor Lane Coffee LLC will operate from a single leased corner unit in inner southeast Portland. The five-year lease carries a base rent of $4,100 per month, subject to 3 percent annual escalation and personal guarantees from both owners. The premises will open 26 days each month for ten hours daily, with a stated capacity ceiling of 7,800 transactions per month derived from three baristas during the morning rush and two thereafter.</w:t>
      </w:r>
    </w:p>
    <w:p>
      <w:pPr>
        <w:spacing w:after="90"/>
      </w:pPr>
      <w:r>
        <w:t xml:space="preserve"/>
      </w:r>
    </w:p>
    <w:p>
      <w:pPr>
        <w:spacing w:after="130"/>
      </w:pPr>
      <w:r>
        <w:t xml:space="preserve">Daily operations will concentrate on walk-in traffic. Industry patterns indicate that 60–70 percent of revenue occurs before 11 a.m.; the plan therefore schedules peak staffing for that window. Average transaction value is $7.80, with an expected product mix of 62 percent espresso beverages, 28 percent pastries and light food, and 10 percent retail beans and merchandise. Contribution margin per unit is $5.75 after variable costs of $2.05.</w:t>
      </w:r>
    </w:p>
    <w:p>
      <w:pPr>
        <w:spacing w:after="90"/>
      </w:pPr>
      <w:r>
        <w:t xml:space="preserve"/>
      </w:r>
    </w:p>
    <w:p>
      <w:pPr>
        <w:spacing w:after="130"/>
      </w:pPr>
      <w:r>
        <w:t xml:space="preserve">The owners will provide full-time management. One lead barista and opening supervisor is identified as key staff. A local CPA has been retained at $280 per month to handle bookkeeping and monthly closes. Fixed operating expenses total $24,157 per month, including payroll of $13,387, owner draws of $4,000, rent, utilities, insurance, and other line items. Headcount is projected at 3.8 full-time equivalents at an average hourly wage of $18.15 plus 12 percent payroll taxes.</w:t>
      </w:r>
    </w:p>
    <w:p>
      <w:pPr>
        <w:spacing w:after="90"/>
      </w:pPr>
      <w:r>
        <w:t xml:space="preserve"/>
      </w:r>
    </w:p>
    <w:p>
      <w:pPr>
        <w:spacing w:after="130"/>
      </w:pPr>
      <w:r>
        <w:t xml:space="preserve">Volume is expected to ramp from an opening level of 3,000 transactions per month to a steady-state run rate of 6,200 within seven months. At steady state, monthly revenue is calculated at $48,360. Break-even occurs at 4,487 units or $34,998.60 in revenue, projected for month six. Cash balance reaches a trough of $46,259.80 in month five before turning positive. Year-one revenue is $444,678. Debt service coverage ratios are calculated at 1.92 in year one, 2.19 in year two, and 2.37 in year three.</w:t>
      </w:r>
    </w:p>
    <w:p>
      <w:pPr>
        <w:spacing w:after="90"/>
      </w:pPr>
      <w:r>
        <w:t xml:space="preserve"/>
      </w:r>
    </w:p>
    <w:p>
      <w:pPr>
        <w:spacing w:after="130"/>
      </w:pPr>
      <w:r>
        <w:t xml:space="preserve">A second grinder and third morning barista are scheduled for month 14 to raise peak-hour capacity rather than extend operating hours. All required health and zoning approvals are either held or in process; insurance quotations are complete. No other operating locations or sales channels are planned.</w:t>
      </w:r>
    </w:p>
    <w:p>
      <w:pPr>
        <w:spacing w:after="90"/>
      </w:pPr>
      <w:r>
        <w:t xml:space="preserve"/>
      </w:r>
    </w:p>
    <w:p>
      <w:pPr>
        <w:pStyle w:val="Heading1"/>
        <w:spacing w:after="140" w:before="320"/>
      </w:pPr>
      <w:r>
        <w:t xml:space="preserve">Management and Organisation</w:t>
      </w:r>
    </w:p>
    <w:p>
      <w:pPr>
        <w:spacing w:after="130"/>
      </w:pPr>
      <w:r>
        <w:t xml:space="preserve">Harbor Lane Coffee LLC is owned by Dana Whitfield at 70 percent and Marcus Oyelaran at 30 percent. Whitfield will manage day-to-day operations on a full-time basis. The primary operator has nine years of experience in specialty coffee, beginning as a barista and advancing to lead barista at Ristretto Roasters, followed by four years as café manager at a two-site independent operation in Seattle that included full profit-and-loss responsibility.</w:t>
      </w:r>
    </w:p>
    <w:p>
      <w:pPr>
        <w:spacing w:after="90"/>
      </w:pPr>
      <w:r>
        <w:t xml:space="preserve"/>
      </w:r>
    </w:p>
    <w:p>
      <w:pPr>
        <w:spacing w:after="130"/>
      </w:pPr>
      <w:r>
        <w:t xml:space="preserve">One lead barista and opening supervisor will be employed to cover peak service periods and support consistent execution. An Oregon food handler card, valid through 2028, is already held. Bookkeeping at the required scale will be performed by a contracted local CPA at a fixed monthly fee, with monthly closes scheduled from the first month of operation rather than deferred to year-end.</w:t>
      </w:r>
    </w:p>
    <w:p>
      <w:pPr>
        <w:spacing w:after="90"/>
      </w:pPr>
      <w:r>
        <w:t xml:space="preserve"/>
      </w:r>
    </w:p>
    <w:p>
      <w:pPr>
        <w:spacing w:after="130"/>
      </w:pPr>
      <w:r>
        <w:t xml:space="preserve">No other full-time management positions are planned at opening. The ownership structure places primary operational accountability with the individual who has documented prior café management experience, while the accounting arrangement addresses the identified gap in scaled record-keeping. All required zoning confirmation and insurance quotations are in place, and the owners report no credit issues or bankruptcy history.</w:t>
      </w:r>
    </w:p>
    <w:p>
      <w:pPr>
        <w:spacing w:after="90"/>
      </w:pPr>
      <w:r>
        <w:t xml:space="preserve"/>
      </w:r>
    </w:p>
    <w:p>
      <w:pPr>
        <w:pStyle w:val="Heading1"/>
        <w:spacing w:after="140" w:before="320"/>
      </w:pPr>
      <w:r>
        <w:t xml:space="preserve">Licensing and Compliance</w:t>
      </w:r>
    </w:p>
    <w:p>
      <w:pPr>
        <w:spacing w:after="130"/>
      </w:pPr>
      <w:r>
        <w:t xml:space="preserve">Harbor Lane Coffee LLC was formed in Oregon on April 2, 2026, with two owners holding 70 percent and 30 percent interests respectively. The entity maintains an EIN and operates from a leased site in Portland where zoning compliance has been confirmed. The operator holds a valid Oregon food handler card through 2028.  </w:t>
      </w:r>
    </w:p>
    <w:p>
      <w:pPr>
        <w:spacing w:after="90"/>
      </w:pPr>
      <w:r>
        <w:t xml:space="preserve"/>
      </w:r>
    </w:p>
    <w:p>
      <w:pPr>
        <w:spacing w:after="130"/>
      </w:pPr>
      <w:r>
        <w:t xml:space="preserve">Six license or permit items have been identified in the application. Two are reported as held, two as applied for, and two as not yet started. No further detail on the identity or issuing authorities of these items is provided. A local CPA has been retained at a fixed monthly fee to manage bookkeeping and tax filings from the first month of operations.  </w:t>
      </w:r>
    </w:p>
    <w:p>
      <w:pPr>
        <w:spacing w:after="90"/>
      </w:pPr>
      <w:r>
        <w:t xml:space="preserve"/>
      </w:r>
    </w:p>
    <w:p>
      <w:pPr>
        <w:spacing w:after="130"/>
      </w:pPr>
      <w:r>
        <w:t xml:space="preserve">General liability and property insurance has been quoted but not yet bound. The lease includes a personal guarantee. No federal tax liens, defaults, or bankruptcy history are reported for the owners, both of whom are U.S. citizens.  </w:t>
      </w:r>
    </w:p>
    <w:p>
      <w:pPr>
        <w:spacing w:after="90"/>
      </w:pPr>
      <w:r>
        <w:t xml:space="preserve"/>
      </w:r>
    </w:p>
    <w:p>
      <w:pPr>
        <w:spacing w:after="130"/>
      </w:pPr>
      <w:r>
        <w:t xml:space="preserve">Because the specific permits required for food service, signage, and health compliance in the City of Portland have not been enumerated with application numbers or expected issuance dates, the current status of regulatory approvals remains incomplete. The plan does not yet include copies of submitted applications or confirmation letters from the relevant city or county agencies.</w:t>
      </w:r>
    </w:p>
    <w:p>
      <w:pPr>
        <w:spacing w:after="90"/>
      </w:pPr>
      <w:r>
        <w:t xml:space="preserve"/>
      </w:r>
    </w:p>
    <w:p>
      <w:pPr>
        <w:pStyle w:val="Heading1"/>
        <w:spacing w:after="140" w:before="320"/>
      </w:pPr>
      <w:r>
        <w:t xml:space="preserve">Financial Plan</w:t>
      </w:r>
    </w:p>
    <w:p>
      <w:pPr>
        <w:spacing w:after="130"/>
      </w:pPr>
      <w:r>
        <w:t xml:space="preserve">The financial plan for Harbor Lane Coffee LLC shows a total startup requirement of $128,000. This covers $94,000 in capital expenditures and $34,000 in working capital. The owners will inject $42,000 from seasoned savings, and the plan requests a $118,000 loan, producing $160,000 in total funds and a $32,000 surplus after the stated uses.</w:t>
      </w:r>
    </w:p>
    <w:p>
      <w:pPr>
        <w:spacing w:after="90"/>
      </w:pPr>
      <w:r>
        <w:t xml:space="preserve"/>
      </w:r>
    </w:p>
    <w:p>
      <w:pPr>
        <w:spacing w:after="130"/>
      </w:pPr>
      <w:r>
        <w:t xml:space="preserve">Steady-state monthly revenue is projected at $48,360, with year-one revenue at $444,678. The contribution margin per transaction is $5.75. Fixed monthly operating expenses total $24,157, including $13,389 in payroll. Cost of goods sold is 26.28 percent of revenue, rent is 8.48 percent, and payroll is 27.68 percent. The plan reaches break-even in month six at $34,999 monthly revenue, with 57.53 percent headroom above that level once steady state is attained. The lowest projected cash balance occurs in month five at $46,260.</w:t>
      </w:r>
    </w:p>
    <w:p>
      <w:pPr>
        <w:spacing w:after="90"/>
      </w:pPr>
      <w:r>
        <w:t xml:space="preserve"/>
      </w:r>
    </w:p>
    <w:p>
      <w:pPr>
        <w:spacing w:after="130"/>
      </w:pPr>
      <w:r>
        <w:t xml:space="preserve">Monthly debt service on the requested loan is $1,642. Debt service coverage is 1.92 in year one, 2.19 in year two, and 2.37 in year three. Revenue growth assumptions are 14 percent in year two and 8 percent in year three, driven by added equipment and staffing in month 14. A contracted CPA will perform monthly closes at $280 per month to address the owners' limited prior bookkeeping experience at this scale. All projections use the operator's observed pop-up transaction data and stated capacity ceiling of 7,800 transactions per month.</w:t>
      </w:r>
    </w:p>
    <w:p>
      <w:pPr>
        <w:spacing w:after="90"/>
      </w:pPr>
      <w:r>
        <w:t xml:space="preserve"/>
      </w:r>
    </w:p>
    <w:p>
      <w:pPr>
        <w:pStyle w:val="Heading2"/>
        <w:spacing w:after="110" w:before="240"/>
      </w:pPr>
      <w:r>
        <w:t xml:space="preserve">Startup Investment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shd w:fill="0F4C5C" w:color="auto" w:val="clear"/>
            <w:tcMar>
              <w:top w:type="dxa" w:w="50"/>
              <w:left w:type="dxa" w:w="80"/>
              <w:bottom w:type="dxa" w:w="50"/>
              <w:right w:type="dxa" w:w="80"/>
            </w:tcMar>
          </w:tcPr>
          <w:p>
            <w:pPr>
              <w:spacing w:after="0"/>
              <w:jc w:val="left"/>
            </w:pPr>
            <w:r>
              <w:rPr>
                <w:b/>
                <w:bCs/>
                <w:color w:val="FFFFFF"/>
                <w:sz w:val="17"/>
                <w:szCs w:val="17"/>
              </w:rPr>
              <w:t xml:space="preserve">Startup purchase</w:t>
            </w:r>
          </w:p>
        </w:tc>
        <w:tc>
          <w:tcPr>
            <w:tcW w:type="dxa" w:w="3120"/>
            <w:shd w:fill="0F4C5C" w:color="auto" w:val="clear"/>
            <w:tcMar>
              <w:top w:type="dxa" w:w="50"/>
              <w:left w:type="dxa" w:w="80"/>
              <w:bottom w:type="dxa" w:w="50"/>
              <w:right w:type="dxa" w:w="80"/>
            </w:tcMar>
          </w:tcPr>
          <w:p>
            <w:pPr>
              <w:spacing w:after="0"/>
              <w:jc w:val="right"/>
            </w:pPr>
            <w:r>
              <w:rPr>
                <w:b/>
                <w:bCs/>
                <w:color w:val="FFFFFF"/>
                <w:sz w:val="17"/>
                <w:szCs w:val="17"/>
              </w:rPr>
              <w:t xml:space="preserve">Amount</w:t>
            </w:r>
          </w:p>
        </w:tc>
        <w:tc>
          <w:tcPr>
            <w:tcW w:type="dxa" w:w="3120"/>
            <w:shd w:fill="0F4C5C" w:color="auto" w:val="clear"/>
            <w:tcMar>
              <w:top w:type="dxa" w:w="50"/>
              <w:left w:type="dxa" w:w="80"/>
              <w:bottom w:type="dxa" w:w="50"/>
              <w:right w:type="dxa" w:w="80"/>
            </w:tcMar>
          </w:tcPr>
          <w:p>
            <w:pPr>
              <w:spacing w:after="0"/>
              <w:jc w:val="right"/>
            </w:pPr>
            <w:r>
              <w:rPr>
                <w:b/>
                <w:bCs/>
                <w:color w:val="FFFFFF"/>
                <w:sz w:val="17"/>
                <w:szCs w:val="17"/>
              </w:rPr>
              <w:t xml:space="preserve">Basis</w:t>
            </w:r>
          </w:p>
        </w:tc>
      </w:tr>
      <w:tr>
        <w:tc>
          <w:tcPr>
            <w:tcW w:type="dxa" w:w="3120"/>
            <w:tcMar>
              <w:top w:type="dxa" w:w="50"/>
              <w:left w:type="dxa" w:w="80"/>
              <w:bottom w:type="dxa" w:w="50"/>
              <w:right w:type="dxa" w:w="80"/>
            </w:tcMar>
          </w:tcPr>
          <w:p>
            <w:pPr>
              <w:spacing w:after="0"/>
              <w:jc w:val="left"/>
            </w:pPr>
            <w:r>
              <w:rPr>
                <w:sz w:val="17"/>
                <w:szCs w:val="17"/>
              </w:rPr>
              <w:t xml:space="preserve">Espresso machine (2-group) and two grinders</w:t>
            </w:r>
          </w:p>
        </w:tc>
        <w:tc>
          <w:tcPr>
            <w:tcW w:type="dxa" w:w="3120"/>
            <w:tcMar>
              <w:top w:type="dxa" w:w="50"/>
              <w:left w:type="dxa" w:w="80"/>
              <w:bottom w:type="dxa" w:w="50"/>
              <w:right w:type="dxa" w:w="80"/>
            </w:tcMar>
          </w:tcPr>
          <w:p>
            <w:pPr>
              <w:spacing w:after="0"/>
              <w:jc w:val="right"/>
            </w:pPr>
            <w:r>
              <w:rPr>
                <w:sz w:val="17"/>
                <w:szCs w:val="17"/>
              </w:rPr>
              <w:t xml:space="preserve">$24,500</w:t>
            </w:r>
          </w:p>
        </w:tc>
        <w:tc>
          <w:tcPr>
            <w:tcW w:type="dxa" w:w="3120"/>
            <w:tcMar>
              <w:top w:type="dxa" w:w="50"/>
              <w:left w:type="dxa" w:w="80"/>
              <w:bottom w:type="dxa" w:w="50"/>
              <w:right w:type="dxa" w:w="80"/>
            </w:tcMar>
          </w:tcPr>
          <w:p>
            <w:pPr>
              <w:spacing w:after="0"/>
              <w:jc w:val="right"/>
            </w:pPr>
            <w:r>
              <w:rPr>
                <w:sz w:val="17"/>
                <w:szCs w:val="17"/>
              </w:rPr>
              <w:t xml:space="preserve">quote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Build-out: counter, plumbing, three-compartment sink, grease trap</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$38,000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quote</w:t>
            </w:r>
          </w:p>
        </w:tc>
      </w:tr>
      <w:tr>
        <w:tc>
          <w:tcPr>
            <w:tcW w:type="dxa" w:w="3120"/>
            <w:tcMar>
              <w:top w:type="dxa" w:w="50"/>
              <w:left w:type="dxa" w:w="80"/>
              <w:bottom w:type="dxa" w:w="50"/>
              <w:right w:type="dxa" w:w="80"/>
            </w:tcMar>
          </w:tcPr>
          <w:p>
            <w:pPr>
              <w:spacing w:after="0"/>
              <w:jc w:val="left"/>
            </w:pPr>
            <w:r>
              <w:rPr>
                <w:sz w:val="17"/>
                <w:szCs w:val="17"/>
              </w:rPr>
              <w:t xml:space="preserve">Refrigeration, undercounter and display</w:t>
            </w:r>
          </w:p>
        </w:tc>
        <w:tc>
          <w:tcPr>
            <w:tcW w:type="dxa" w:w="3120"/>
            <w:tcMar>
              <w:top w:type="dxa" w:w="50"/>
              <w:left w:type="dxa" w:w="80"/>
              <w:bottom w:type="dxa" w:w="50"/>
              <w:right w:type="dxa" w:w="80"/>
            </w:tcMar>
          </w:tcPr>
          <w:p>
            <w:pPr>
              <w:spacing w:after="0"/>
              <w:jc w:val="right"/>
            </w:pPr>
            <w:r>
              <w:rPr>
                <w:sz w:val="17"/>
                <w:szCs w:val="17"/>
              </w:rPr>
              <w:t xml:space="preserve">$9,200</w:t>
            </w:r>
          </w:p>
        </w:tc>
        <w:tc>
          <w:tcPr>
            <w:tcW w:type="dxa" w:w="3120"/>
            <w:tcMar>
              <w:top w:type="dxa" w:w="50"/>
              <w:left w:type="dxa" w:w="80"/>
              <w:bottom w:type="dxa" w:w="50"/>
              <w:right w:type="dxa" w:w="80"/>
            </w:tcMar>
          </w:tcPr>
          <w:p>
            <w:pPr>
              <w:spacing w:after="0"/>
              <w:jc w:val="right"/>
            </w:pPr>
            <w:r>
              <w:rPr>
                <w:sz w:val="17"/>
                <w:szCs w:val="17"/>
              </w:rPr>
              <w:t xml:space="preserve">quote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Furniture and fit-out for 18 seats</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$7,400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estimate</w:t>
            </w:r>
          </w:p>
        </w:tc>
      </w:tr>
      <w:tr>
        <w:tc>
          <w:tcPr>
            <w:tcW w:type="dxa" w:w="3120"/>
            <w:tcMar>
              <w:top w:type="dxa" w:w="50"/>
              <w:left w:type="dxa" w:w="80"/>
              <w:bottom w:type="dxa" w:w="50"/>
              <w:right w:type="dxa" w:w="80"/>
            </w:tcMar>
          </w:tcPr>
          <w:p>
            <w:pPr>
              <w:spacing w:after="0"/>
              <w:jc w:val="left"/>
            </w:pPr>
            <w:r>
              <w:rPr>
                <w:sz w:val="17"/>
                <w:szCs w:val="17"/>
              </w:rPr>
              <w:t xml:space="preserve">POS hardware and card terminals</w:t>
            </w:r>
          </w:p>
        </w:tc>
        <w:tc>
          <w:tcPr>
            <w:tcW w:type="dxa" w:w="3120"/>
            <w:tcMar>
              <w:top w:type="dxa" w:w="50"/>
              <w:left w:type="dxa" w:w="80"/>
              <w:bottom w:type="dxa" w:w="50"/>
              <w:right w:type="dxa" w:w="80"/>
            </w:tcMar>
          </w:tcPr>
          <w:p>
            <w:pPr>
              <w:spacing w:after="0"/>
              <w:jc w:val="right"/>
            </w:pPr>
            <w:r>
              <w:rPr>
                <w:sz w:val="17"/>
                <w:szCs w:val="17"/>
              </w:rPr>
              <w:t xml:space="preserve">$3,100</w:t>
            </w:r>
          </w:p>
        </w:tc>
        <w:tc>
          <w:tcPr>
            <w:tcW w:type="dxa" w:w="3120"/>
            <w:tcMar>
              <w:top w:type="dxa" w:w="50"/>
              <w:left w:type="dxa" w:w="80"/>
              <w:bottom w:type="dxa" w:w="50"/>
              <w:right w:type="dxa" w:w="80"/>
            </w:tcMar>
          </w:tcPr>
          <w:p>
            <w:pPr>
              <w:spacing w:after="0"/>
              <w:jc w:val="right"/>
            </w:pPr>
            <w:r>
              <w:rPr>
                <w:sz w:val="17"/>
                <w:szCs w:val="17"/>
              </w:rPr>
              <w:t xml:space="preserve">quote</w:t>
            </w:r>
          </w:p>
        </w:tc>
      </w:tr>
      <w:tr>
        <w:tc>
          <w:tcPr>
            <w:tcW w:type="dxa" w:w="3120"/>
            <w:shd w:fill="EEF3F4" w:color="auto" w:val="clear"/>
            <w:tcMar>
              <w:top w:type="dxa" w:w="50"/>
              <w:left w:type="dxa" w:w="80"/>
              <w:bottom w:type="dxa" w:w="50"/>
              <w:right w:type="dxa" w:w="80"/>
            </w:tcMar>
          </w:tcPr>
          <w:p>
            <w:pPr>
              <w:spacing w:after="0"/>
              <w:jc w:val="left"/>
            </w:pPr>
            <w:r>
              <w:rPr>
                <w:sz w:val="17"/>
                <w:szCs w:val="17"/>
              </w:rPr>
              <w:t xml:space="preserve">Water filtration and plumbing compliance</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$2,800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quote</w:t>
            </w:r>
          </w:p>
        </w:tc>
      </w:tr>
      <w:tr>
        <w:tc>
          <w:tcPr>
            <w:tcW w:type="dxa" w:w="3120"/>
            <w:tcMar>
              <w:top w:type="dxa" w:w="50"/>
              <w:left w:type="dxa" w:w="80"/>
              <w:bottom w:type="dxa" w:w="50"/>
              <w:right w:type="dxa" w:w="80"/>
            </w:tcMar>
          </w:tcPr>
          <w:p>
            <w:pPr>
              <w:spacing w:after="0"/>
              <w:jc w:val="left"/>
            </w:pPr>
            <w:r>
              <w:rPr>
                <w:sz w:val="17"/>
                <w:szCs w:val="17"/>
              </w:rPr>
              <w:t xml:space="preserve">Signage, permits and build-out contingency</w:t>
            </w:r>
          </w:p>
        </w:tc>
        <w:tc>
          <w:tcPr>
            <w:tcW w:type="dxa" w:w="3120"/>
            <w:tcMar>
              <w:top w:type="dxa" w:w="50"/>
              <w:left w:type="dxa" w:w="80"/>
              <w:bottom w:type="dxa" w:w="50"/>
              <w:right w:type="dxa" w:w="80"/>
            </w:tcMar>
          </w:tcPr>
          <w:p>
            <w:pPr>
              <w:spacing w:after="0"/>
              <w:jc w:val="right"/>
            </w:pPr>
            <w:r>
              <w:rPr>
                <w:sz w:val="17"/>
                <w:szCs w:val="17"/>
              </w:rPr>
              <w:t xml:space="preserve">$9,000</w:t>
            </w:r>
          </w:p>
        </w:tc>
        <w:tc>
          <w:tcPr>
            <w:tcW w:type="dxa" w:w="3120"/>
            <w:tcMar>
              <w:top w:type="dxa" w:w="50"/>
              <w:left w:type="dxa" w:w="80"/>
              <w:bottom w:type="dxa" w:w="50"/>
              <w:right w:type="dxa" w:w="80"/>
            </w:tcMar>
          </w:tcPr>
          <w:p>
            <w:pPr>
              <w:spacing w:after="0"/>
              <w:jc w:val="right"/>
            </w:pPr>
            <w:r>
              <w:rPr>
                <w:sz w:val="17"/>
                <w:szCs w:val="17"/>
              </w:rPr>
              <w:t xml:space="preserve">estimate</w:t>
            </w:r>
          </w:p>
        </w:tc>
      </w:tr>
      <w:tr>
        <w:tc>
          <w:tcPr>
            <w:tcW w:type="dxa" w:w="3120"/>
            <w:shd w:fill="EEF3F4" w:color="auto" w:val="clear"/>
            <w:tcMar>
              <w:top w:type="dxa" w:w="50"/>
              <w:left w:type="dxa" w:w="80"/>
              <w:bottom w:type="dxa" w:w="50"/>
              <w:right w:type="dxa" w:w="80"/>
            </w:tcMar>
          </w:tcPr>
          <w:p>
            <w:pPr>
              <w:spacing w:after="0"/>
              <w:jc w:val="left"/>
            </w:pPr>
            <w:r>
              <w:rPr>
                <w:b/>
                <w:bCs/>
                <w:sz w:val="17"/>
                <w:szCs w:val="17"/>
              </w:rPr>
              <w:t xml:space="preserve">Total capital expenditure</w:t>
            </w:r>
          </w:p>
        </w:tc>
        <w:tc>
          <w:tcPr>
            <w:tcW w:type="dxa" w:w="3120"/>
            <w:shd w:fill="EEF3F4" w:color="auto" w:val="clear"/>
            <w:tcMar>
              <w:top w:type="dxa" w:w="50"/>
              <w:left w:type="dxa" w:w="80"/>
              <w:bottom w:type="dxa" w:w="50"/>
              <w:right w:type="dxa" w:w="80"/>
            </w:tcMar>
          </w:tcPr>
          <w:p>
            <w:pPr>
              <w:spacing w:after="0"/>
              <w:jc w:val="right"/>
            </w:pPr>
            <w:r>
              <w:rPr>
                <w:b/>
                <w:bCs/>
                <w:sz w:val="17"/>
                <w:szCs w:val="17"/>
              </w:rPr>
              <w:t xml:space="preserve">$94,000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
            </w:r>
          </w:p>
        </w:tc>
      </w:tr>
      <w:tr>
        <w:tc>
          <w:tcPr>
            <w:tcW w:type="dxa" w:w="3120"/>
            <w:tcMar>
              <w:top w:type="dxa" w:w="50"/>
              <w:left w:type="dxa" w:w="80"/>
              <w:bottom w:type="dxa" w:w="50"/>
              <w:right w:type="dxa" w:w="80"/>
            </w:tcMar>
          </w:tcPr>
          <w:p>
            <w:pPr>
              <w:spacing w:after="0"/>
              <w:jc w:val="left"/>
            </w:pPr>
            <w:r>
              <w:rPr>
                <w:sz w:val="17"/>
                <w:szCs w:val="17"/>
              </w:rPr>
              <w:t xml:space="preserve">Working-capital reserve</w:t>
            </w:r>
          </w:p>
        </w:tc>
        <w:tc>
          <w:tcPr>
            <w:tcW w:type="dxa" w:w="3120"/>
            <w:tcMar>
              <w:top w:type="dxa" w:w="50"/>
              <w:left w:type="dxa" w:w="80"/>
              <w:bottom w:type="dxa" w:w="50"/>
              <w:right w:type="dxa" w:w="80"/>
            </w:tcMar>
          </w:tcPr>
          <w:p>
            <w:pPr>
              <w:spacing w:after="0"/>
              <w:jc w:val="right"/>
            </w:pPr>
            <w:r>
              <w:rPr>
                <w:sz w:val="17"/>
                <w:szCs w:val="17"/>
              </w:rPr>
              <w:t xml:space="preserve">$34,000</w:t>
            </w:r>
          </w:p>
        </w:tc>
        <w:tc>
          <w:tcPr>
            <w:tcW w:type="dxa" w:w="3120"/>
            <w:tcMar>
              <w:top w:type="dxa" w:w="50"/>
              <w:left w:type="dxa" w:w="80"/>
              <w:bottom w:type="dxa" w:w="50"/>
              <w:right w:type="dxa" w:w="80"/>
            </w:tcMar>
          </w:tcPr>
          <w:p>
            <w:pPr>
              <w:spacing w:after="0"/>
              <w:jc w:val="right"/>
            </w:pPr>
            <w:r>
              <w:rPr>
                <w:sz w:val="17"/>
                <w:szCs w:val="17"/>
              </w:rPr>
              <w:t xml:space="preserve">operator</w:t>
            </w:r>
          </w:p>
        </w:tc>
      </w:tr>
      <w:tr>
        <w:tc>
          <w:tcPr>
            <w:tcW w:type="dxa" w:w="3120"/>
            <w:shd w:fill="EEF3F4" w:color="auto" w:val="clear"/>
            <w:tcMar>
              <w:top w:type="dxa" w:w="50"/>
              <w:left w:type="dxa" w:w="80"/>
              <w:bottom w:type="dxa" w:w="50"/>
              <w:right w:type="dxa" w:w="80"/>
            </w:tcMar>
          </w:tcPr>
          <w:p>
            <w:pPr>
              <w:spacing w:after="0"/>
              <w:jc w:val="left"/>
            </w:pPr>
            <w:r>
              <w:rPr>
                <w:b/>
                <w:bCs/>
                <w:sz w:val="17"/>
                <w:szCs w:val="17"/>
              </w:rPr>
              <w:t xml:space="preserve">Total startup requirement</w:t>
            </w:r>
          </w:p>
        </w:tc>
        <w:tc>
          <w:tcPr>
            <w:tcW w:type="dxa" w:w="3120"/>
            <w:shd w:fill="EEF3F4" w:color="auto" w:val="clear"/>
            <w:tcMar>
              <w:top w:type="dxa" w:w="50"/>
              <w:left w:type="dxa" w:w="80"/>
              <w:bottom w:type="dxa" w:w="50"/>
              <w:right w:type="dxa" w:w="80"/>
            </w:tcMar>
          </w:tcPr>
          <w:p>
            <w:pPr>
              <w:spacing w:after="0"/>
              <w:jc w:val="right"/>
            </w:pPr>
            <w:r>
              <w:rPr>
                <w:b/>
                <w:bCs/>
                <w:sz w:val="17"/>
                <w:szCs w:val="17"/>
              </w:rPr>
              <w:t xml:space="preserve">$128,000</w:t>
            </w:r>
          </w:p>
        </w:tc>
        <w:tc>
          <w:tcPr>
            <w:tcW w:type="dxa" w:w="3120"/>
            <w:shd w:fill="EEF3F4" w:color="auto" w:val="clear"/>
            <w:tcMar>
              <w:top w:type="dxa" w:w="50"/>
              <w:left w:type="dxa" w:w="80"/>
              <w:bottom w:type="dxa" w:w="50"/>
              <w:right w:type="dxa" w:w="80"/>
            </w:tcMar>
          </w:tcPr>
          <w:p>
            <w:pPr>
              <w:spacing w:after="0"/>
              <w:jc w:val="right"/>
            </w:pPr>
            <w:r>
              <w:rPr>
                <w:sz w:val="17"/>
                <w:szCs w:val="17"/>
              </w:rPr>
              <w:t xml:space="preserve"/>
            </w:r>
          </w:p>
        </w:tc>
      </w:tr>
    </w:tbl>
    <w:p>
      <w:pPr>
        <w:spacing w:after="140"/>
      </w:pPr>
      <w:r>
        <w:t xml:space="preserve"/>
      </w:r>
    </w:p>
    <w:p>
      <w:pPr>
        <w:spacing w:after="90"/>
      </w:pPr>
      <w:r>
        <w:t xml:space="preserve"/>
      </w:r>
    </w:p>
    <w:p>
      <w:pPr>
        <w:pStyle w:val="Heading2"/>
        <w:spacing w:after="110" w:before="240"/>
      </w:pPr>
      <w:r>
        <w:t xml:space="preserve">Fixed Monthly Costs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Fixed monthly cost</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Amount</w:t>
            </w:r>
          </w:p>
        </w:tc>
      </w:tr>
      <w:tr>
        <w:tc>
          <w:tcPr>
            <w:tcW w:type="dxa" w:w="4680"/>
            <w:tcMar>
              <w:top w:type="dxa" w:w="50"/>
              <w:left w:type="dxa" w:w="80"/>
              <w:bottom w:type="dxa" w:w="50"/>
              <w:right w:type="dxa" w:w="80"/>
            </w:tcMar>
          </w:tcPr>
          <w:p>
            <w:pPr>
              <w:spacing w:after="0"/>
              <w:jc w:val="left"/>
            </w:pPr>
            <w:r>
              <w:rPr>
                <w:sz w:val="17"/>
                <w:szCs w:val="17"/>
              </w:rPr>
              <w:t xml:space="preserve">Rent</w:t>
            </w:r>
          </w:p>
        </w:tc>
        <w:tc>
          <w:tcPr>
            <w:tcW w:type="dxa" w:w="4680"/>
            <w:tcMar>
              <w:top w:type="dxa" w:w="50"/>
              <w:left w:type="dxa" w:w="80"/>
              <w:bottom w:type="dxa" w:w="50"/>
              <w:right w:type="dxa" w:w="80"/>
            </w:tcMar>
          </w:tcPr>
          <w:p>
            <w:pPr>
              <w:spacing w:after="0"/>
              <w:jc w:val="right"/>
            </w:pPr>
            <w:r>
              <w:rPr>
                <w:sz w:val="17"/>
                <w:szCs w:val="17"/>
              </w:rPr>
              <w:t xml:space="preserve">$4,100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payroll</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$13,387</w:t>
            </w:r>
          </w:p>
        </w:tc>
      </w:tr>
      <w:tr>
        <w:tc>
          <w:tcPr>
            <w:tcW w:type="dxa" w:w="4680"/>
            <w:tcMar>
              <w:top w:type="dxa" w:w="50"/>
              <w:left w:type="dxa" w:w="80"/>
              <w:bottom w:type="dxa" w:w="50"/>
              <w:right w:type="dxa" w:w="80"/>
            </w:tcMar>
          </w:tcPr>
          <w:p>
            <w:pPr>
              <w:spacing w:after="0"/>
              <w:jc w:val="left"/>
            </w:pPr>
            <w:r>
              <w:rPr>
                <w:sz w:val="17"/>
                <w:szCs w:val="17"/>
              </w:rPr>
              <w:t xml:space="preserve">owner draw</w:t>
            </w:r>
          </w:p>
        </w:tc>
        <w:tc>
          <w:tcPr>
            <w:tcW w:type="dxa" w:w="4680"/>
            <w:tcMar>
              <w:top w:type="dxa" w:w="50"/>
              <w:left w:type="dxa" w:w="80"/>
              <w:bottom w:type="dxa" w:w="50"/>
              <w:right w:type="dxa" w:w="80"/>
            </w:tcMar>
          </w:tcPr>
          <w:p>
            <w:pPr>
              <w:spacing w:after="0"/>
              <w:jc w:val="right"/>
            </w:pPr>
            <w:r>
              <w:rPr>
                <w:sz w:val="17"/>
                <w:szCs w:val="17"/>
              </w:rPr>
              <w:t xml:space="preserve">$4,000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utilities</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$680</w:t>
            </w:r>
          </w:p>
        </w:tc>
      </w:tr>
      <w:tr>
        <w:tc>
          <w:tcPr>
            <w:tcW w:type="dxa" w:w="4680"/>
            <w:tcMar>
              <w:top w:type="dxa" w:w="50"/>
              <w:left w:type="dxa" w:w="80"/>
              <w:bottom w:type="dxa" w:w="50"/>
              <w:right w:type="dxa" w:w="80"/>
            </w:tcMar>
          </w:tcPr>
          <w:p>
            <w:pPr>
              <w:spacing w:after="0"/>
              <w:jc w:val="left"/>
            </w:pPr>
            <w:r>
              <w:rPr>
                <w:sz w:val="17"/>
                <w:szCs w:val="17"/>
              </w:rPr>
              <w:t xml:space="preserve">insurance</w:t>
            </w:r>
          </w:p>
        </w:tc>
        <w:tc>
          <w:tcPr>
            <w:tcW w:type="dxa" w:w="4680"/>
            <w:tcMar>
              <w:top w:type="dxa" w:w="50"/>
              <w:left w:type="dxa" w:w="80"/>
              <w:bottom w:type="dxa" w:w="50"/>
              <w:right w:type="dxa" w:w="80"/>
            </w:tcMar>
          </w:tcPr>
          <w:p>
            <w:pPr>
              <w:spacing w:after="0"/>
              <w:jc w:val="right"/>
            </w:pPr>
            <w:r>
              <w:rPr>
                <w:sz w:val="17"/>
                <w:szCs w:val="17"/>
              </w:rPr>
              <w:t xml:space="preserve">$390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marketing</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$250</w:t>
            </w:r>
          </w:p>
        </w:tc>
      </w:tr>
      <w:tr>
        <w:tc>
          <w:tcPr>
            <w:tcW w:type="dxa" w:w="4680"/>
            <w:tcMar>
              <w:top w:type="dxa" w:w="50"/>
              <w:left w:type="dxa" w:w="80"/>
              <w:bottom w:type="dxa" w:w="50"/>
              <w:right w:type="dxa" w:w="80"/>
            </w:tcMar>
          </w:tcPr>
          <w:p>
            <w:pPr>
              <w:spacing w:after="0"/>
              <w:jc w:val="left"/>
            </w:pPr>
            <w:r>
              <w:rPr>
                <w:sz w:val="17"/>
                <w:szCs w:val="17"/>
              </w:rPr>
              <w:t xml:space="preserve">software</w:t>
            </w:r>
          </w:p>
        </w:tc>
        <w:tc>
          <w:tcPr>
            <w:tcW w:type="dxa" w:w="4680"/>
            <w:tcMar>
              <w:top w:type="dxa" w:w="50"/>
              <w:left w:type="dxa" w:w="80"/>
              <w:bottom w:type="dxa" w:w="50"/>
              <w:right w:type="dxa" w:w="80"/>
            </w:tcMar>
          </w:tcPr>
          <w:p>
            <w:pPr>
              <w:spacing w:after="0"/>
              <w:jc w:val="right"/>
            </w:pPr>
            <w:r>
              <w:rPr>
                <w:sz w:val="17"/>
                <w:szCs w:val="17"/>
              </w:rPr>
              <w:t xml:space="preserve">$210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accounting</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$280</w:t>
            </w:r>
          </w:p>
        </w:tc>
      </w:tr>
      <w:tr>
        <w:tc>
          <w:tcPr>
            <w:tcW w:type="dxa" w:w="4680"/>
            <w:tcMar>
              <w:top w:type="dxa" w:w="50"/>
              <w:left w:type="dxa" w:w="80"/>
              <w:bottom w:type="dxa" w:w="50"/>
              <w:right w:type="dxa" w:w="80"/>
            </w:tcMar>
          </w:tcPr>
          <w:p>
            <w:pPr>
              <w:spacing w:after="0"/>
              <w:jc w:val="left"/>
            </w:pPr>
            <w:r>
              <w:rPr>
                <w:sz w:val="17"/>
                <w:szCs w:val="17"/>
              </w:rPr>
              <w:t xml:space="preserve">maintenance</w:t>
            </w:r>
          </w:p>
        </w:tc>
        <w:tc>
          <w:tcPr>
            <w:tcW w:type="dxa" w:w="4680"/>
            <w:tcMar>
              <w:top w:type="dxa" w:w="50"/>
              <w:left w:type="dxa" w:w="80"/>
              <w:bottom w:type="dxa" w:w="50"/>
              <w:right w:type="dxa" w:w="80"/>
            </w:tcMar>
          </w:tcPr>
          <w:p>
            <w:pPr>
              <w:spacing w:after="0"/>
              <w:jc w:val="right"/>
            </w:pPr>
            <w:r>
              <w:rPr>
                <w:sz w:val="17"/>
                <w:szCs w:val="17"/>
              </w:rPr>
              <w:t xml:space="preserve">$320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supplies</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$540</w:t>
            </w:r>
          </w:p>
        </w:tc>
      </w:tr>
      <w:tr>
        <w:tc>
          <w:tcPr>
            <w:tcW w:type="dxa" w:w="4680"/>
            <w:tcMar>
              <w:top w:type="dxa" w:w="50"/>
              <w:left w:type="dxa" w:w="80"/>
              <w:bottom w:type="dxa" w:w="50"/>
              <w:right w:type="dxa" w:w="80"/>
            </w:tcMar>
          </w:tcPr>
          <w:p>
            <w:pPr>
              <w:spacing w:after="0"/>
              <w:jc w:val="left"/>
            </w:pPr>
            <w:r>
              <w:rPr>
                <w:b/>
                <w:bCs/>
                <w:sz w:val="17"/>
                <w:szCs w:val="17"/>
              </w:rPr>
              <w:t xml:space="preserve">Total fixed monthly</w:t>
            </w:r>
          </w:p>
        </w:tc>
        <w:tc>
          <w:tcPr>
            <w:tcW w:type="dxa" w:w="4680"/>
            <w:tcMar>
              <w:top w:type="dxa" w:w="50"/>
              <w:left w:type="dxa" w:w="80"/>
              <w:bottom w:type="dxa" w:w="50"/>
              <w:right w:type="dxa" w:w="80"/>
            </w:tcMar>
          </w:tcPr>
          <w:p>
            <w:pPr>
              <w:spacing w:after="0"/>
              <w:jc w:val="right"/>
            </w:pPr>
            <w:r>
              <w:rPr>
                <w:b/>
                <w:bCs/>
                <w:sz w:val="17"/>
                <w:szCs w:val="17"/>
              </w:rPr>
              <w:t xml:space="preserve">$24,157</w:t>
            </w:r>
          </w:p>
        </w:tc>
      </w:tr>
    </w:tbl>
    <w:p>
      <w:pPr>
        <w:spacing w:after="140"/>
      </w:pPr>
      <w:r>
        <w:t xml:space="preserve"/>
      </w:r>
    </w:p>
    <w:p>
      <w:pPr>
        <w:spacing w:after="90"/>
      </w:pPr>
      <w:r>
        <w:t xml:space="preserve"/>
      </w:r>
    </w:p>
    <w:p>
      <w:pPr>
        <w:pStyle w:val="Heading2"/>
        <w:spacing w:after="110" w:before="240"/>
      </w:pPr>
      <w:r>
        <w:t xml:space="preserve">Monthly Profit and Loss — Year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40"/>
        <w:gridCol w:w="1040"/>
        <w:gridCol w:w="1040"/>
        <w:gridCol w:w="1040"/>
        <w:gridCol w:w="1040"/>
        <w:gridCol w:w="1040"/>
        <w:gridCol w:w="1040"/>
        <w:gridCol w:w="1040"/>
        <w:gridCol w:w="1040"/>
      </w:tblGrid>
      <w:tr>
        <w:trPr>
          <w:tblHeader/>
        </w:trPr>
        <w:tc>
          <w:tcPr>
            <w:tcW w:type="dxa" w:w="1040"/>
            <w:shd w:fill="0F4C5C" w:color="auto" w:val="clear"/>
            <w:tcMar>
              <w:top w:type="dxa" w:w="50"/>
              <w:left w:type="dxa" w:w="80"/>
              <w:bottom w:type="dxa" w:w="50"/>
              <w:right w:type="dxa" w:w="80"/>
            </w:tcMar>
          </w:tcPr>
          <w:p>
            <w:pPr>
              <w:spacing w:after="0"/>
              <w:jc w:val="left"/>
            </w:pPr>
            <w:r>
              <w:rPr>
                <w:b/>
                <w:bCs/>
                <w:color w:val="FFFFFF"/>
                <w:sz w:val="17"/>
                <w:szCs w:val="17"/>
              </w:rPr>
              <w:t xml:space="preserve">Month</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Units</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Revenue</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COGS</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Gross</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Fixed</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EBITDA</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Debt service</w:t>
            </w:r>
          </w:p>
        </w:tc>
        <w:tc>
          <w:tcPr>
            <w:tcW w:type="dxa" w:w="1040"/>
            <w:shd w:fill="0F4C5C" w:color="auto" w:val="clear"/>
            <w:tcMar>
              <w:top w:type="dxa" w:w="50"/>
              <w:left w:type="dxa" w:w="80"/>
              <w:bottom w:type="dxa" w:w="50"/>
              <w:right w:type="dxa" w:w="80"/>
            </w:tcMar>
          </w:tcPr>
          <w:p>
            <w:pPr>
              <w:spacing w:after="0"/>
              <w:jc w:val="right"/>
            </w:pPr>
            <w:r>
              <w:rPr>
                <w:b/>
                <w:bCs/>
                <w:color w:val="FFFFFF"/>
                <w:sz w:val="17"/>
                <w:szCs w:val="17"/>
              </w:rPr>
              <w:t xml:space="preserve">Net</w:t>
            </w:r>
          </w:p>
        </w:tc>
      </w:tr>
      <w:tr>
        <w:tc>
          <w:tcPr>
            <w:tcW w:type="dxa" w:w="1040"/>
            <w:tcMar>
              <w:top w:type="dxa" w:w="50"/>
              <w:left w:type="dxa" w:w="80"/>
              <w:bottom w:type="dxa" w:w="50"/>
              <w:right w:type="dxa" w:w="80"/>
            </w:tcMar>
          </w:tcPr>
          <w:p>
            <w:pPr>
              <w:spacing w:after="0"/>
              <w:jc w:val="left"/>
            </w:pPr>
            <w:r>
              <w:rPr>
                <w:sz w:val="17"/>
                <w:szCs w:val="17"/>
              </w:rPr>
              <w:t xml:space="preserve">1</w:t>
            </w:r>
          </w:p>
        </w:tc>
        <w:tc>
          <w:tcPr>
            <w:tcW w:type="dxa" w:w="1040"/>
            <w:tcMar>
              <w:top w:type="dxa" w:w="50"/>
              <w:left w:type="dxa" w:w="80"/>
              <w:bottom w:type="dxa" w:w="50"/>
              <w:right w:type="dxa" w:w="80"/>
            </w:tcMar>
          </w:tcPr>
          <w:p>
            <w:pPr>
              <w:spacing w:after="0"/>
              <w:jc w:val="right"/>
            </w:pPr>
            <w:r>
              <w:rPr>
                <w:sz w:val="17"/>
                <w:szCs w:val="17"/>
              </w:rPr>
              <w:t xml:space="preserve">3,000</w:t>
            </w:r>
          </w:p>
        </w:tc>
        <w:tc>
          <w:tcPr>
            <w:tcW w:type="dxa" w:w="1040"/>
            <w:tcMar>
              <w:top w:type="dxa" w:w="50"/>
              <w:left w:type="dxa" w:w="80"/>
              <w:bottom w:type="dxa" w:w="50"/>
              <w:right w:type="dxa" w:w="80"/>
            </w:tcMar>
          </w:tcPr>
          <w:p>
            <w:pPr>
              <w:spacing w:after="0"/>
              <w:jc w:val="right"/>
            </w:pPr>
            <w:r>
              <w:rPr>
                <w:sz w:val="17"/>
                <w:szCs w:val="17"/>
              </w:rPr>
              <w:t xml:space="preserve">$23,400</w:t>
            </w:r>
          </w:p>
        </w:tc>
        <w:tc>
          <w:tcPr>
            <w:tcW w:type="dxa" w:w="1040"/>
            <w:tcMar>
              <w:top w:type="dxa" w:w="50"/>
              <w:left w:type="dxa" w:w="80"/>
              <w:bottom w:type="dxa" w:w="50"/>
              <w:right w:type="dxa" w:w="80"/>
            </w:tcMar>
          </w:tcPr>
          <w:p>
            <w:pPr>
              <w:spacing w:after="0"/>
              <w:jc w:val="right"/>
            </w:pPr>
            <w:r>
              <w:rPr>
                <w:sz w:val="17"/>
                <w:szCs w:val="17"/>
              </w:rPr>
              <w:t xml:space="preserve">$6,150</w:t>
            </w:r>
          </w:p>
        </w:tc>
        <w:tc>
          <w:tcPr>
            <w:tcW w:type="dxa" w:w="1040"/>
            <w:tcMar>
              <w:top w:type="dxa" w:w="50"/>
              <w:left w:type="dxa" w:w="80"/>
              <w:bottom w:type="dxa" w:w="50"/>
              <w:right w:type="dxa" w:w="80"/>
            </w:tcMar>
          </w:tcPr>
          <w:p>
            <w:pPr>
              <w:spacing w:after="0"/>
              <w:jc w:val="right"/>
            </w:pPr>
            <w:r>
              <w:rPr>
                <w:sz w:val="17"/>
                <w:szCs w:val="17"/>
              </w:rPr>
              <w:t xml:space="preserve">$17,250</w:t>
            </w:r>
          </w:p>
        </w:tc>
        <w:tc>
          <w:tcPr>
            <w:tcW w:type="dxa" w:w="1040"/>
            <w:tcMar>
              <w:top w:type="dxa" w:w="50"/>
              <w:left w:type="dxa" w:w="80"/>
              <w:bottom w:type="dxa" w:w="50"/>
              <w:right w:type="dxa" w:w="80"/>
            </w:tcMar>
          </w:tcPr>
          <w:p>
            <w:pPr>
              <w:spacing w:after="0"/>
              <w:jc w:val="right"/>
            </w:pPr>
            <w:r>
              <w:rPr>
                <w:sz w:val="17"/>
                <w:szCs w:val="17"/>
              </w:rPr>
              <w:t xml:space="preserve">$24,157</w:t>
            </w:r>
          </w:p>
        </w:tc>
        <w:tc>
          <w:tcPr>
            <w:tcW w:type="dxa" w:w="1040"/>
            <w:tcMar>
              <w:top w:type="dxa" w:w="50"/>
              <w:left w:type="dxa" w:w="80"/>
              <w:bottom w:type="dxa" w:w="50"/>
              <w:right w:type="dxa" w:w="80"/>
            </w:tcMar>
          </w:tcPr>
          <w:p>
            <w:pPr>
              <w:spacing w:after="0"/>
              <w:jc w:val="right"/>
            </w:pPr>
            <w:r>
              <w:rPr>
                <w:sz w:val="17"/>
                <w:szCs w:val="17"/>
              </w:rPr>
              <w:t xml:space="preserve">$-6,907</w:t>
            </w:r>
          </w:p>
        </w:tc>
        <w:tc>
          <w:tcPr>
            <w:tcW w:type="dxa" w:w="1040"/>
            <w:tcMar>
              <w:top w:type="dxa" w:w="50"/>
              <w:left w:type="dxa" w:w="80"/>
              <w:bottom w:type="dxa" w:w="50"/>
              <w:right w:type="dxa" w:w="80"/>
            </w:tcMar>
          </w:tcPr>
          <w:p>
            <w:pPr>
              <w:spacing w:after="0"/>
              <w:jc w:val="right"/>
            </w:pPr>
            <w:r>
              <w:rPr>
                <w:sz w:val="17"/>
                <w:szCs w:val="17"/>
              </w:rPr>
              <w:t xml:space="preserve">$1,642</w:t>
            </w:r>
          </w:p>
        </w:tc>
        <w:tc>
          <w:tcPr>
            <w:tcW w:type="dxa" w:w="1040"/>
            <w:tcMar>
              <w:top w:type="dxa" w:w="50"/>
              <w:left w:type="dxa" w:w="80"/>
              <w:bottom w:type="dxa" w:w="50"/>
              <w:right w:type="dxa" w:w="80"/>
            </w:tcMar>
          </w:tcPr>
          <w:p>
            <w:pPr>
              <w:spacing w:after="0"/>
              <w:jc w:val="right"/>
            </w:pPr>
            <w:r>
              <w:rPr>
                <w:sz w:val="17"/>
                <w:szCs w:val="17"/>
              </w:rPr>
              <w:t xml:space="preserve">$-8,549</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3,491</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$27,230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$7,157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$20,073</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$24,157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$-4,084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$1,642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$-5,726</w:t>
            </w:r>
          </w:p>
        </w:tc>
      </w:tr>
      <w:tr>
        <w:tc>
          <w:tcPr>
            <w:tcW w:type="dxa" w:w="1040"/>
            <w:tcMar>
              <w:top w:type="dxa" w:w="50"/>
              <w:left w:type="dxa" w:w="80"/>
              <w:bottom w:type="dxa" w:w="50"/>
              <w:right w:type="dxa" w:w="80"/>
            </w:tcMar>
          </w:tcPr>
          <w:p>
            <w:pPr>
              <w:spacing w:after="0"/>
              <w:jc w:val="left"/>
            </w:pPr>
            <w:r>
              <w:rPr>
                <w:sz w:val="17"/>
                <w:szCs w:val="17"/>
              </w:rPr>
              <w:t xml:space="preserve">3</w:t>
            </w:r>
          </w:p>
        </w:tc>
        <w:tc>
          <w:tcPr>
            <w:tcW w:type="dxa" w:w="1040"/>
            <w:tcMar>
              <w:top w:type="dxa" w:w="50"/>
              <w:left w:type="dxa" w:w="80"/>
              <w:bottom w:type="dxa" w:w="50"/>
              <w:right w:type="dxa" w:w="80"/>
            </w:tcMar>
          </w:tcPr>
          <w:p>
            <w:pPr>
              <w:spacing w:after="0"/>
              <w:jc w:val="right"/>
            </w:pPr>
            <w:r>
              <w:rPr>
                <w:sz w:val="17"/>
                <w:szCs w:val="17"/>
              </w:rPr>
              <w:t xml:space="preserve">3,884</w:t>
            </w:r>
          </w:p>
        </w:tc>
        <w:tc>
          <w:tcPr>
            <w:tcW w:type="dxa" w:w="1040"/>
            <w:tcMar>
              <w:top w:type="dxa" w:w="50"/>
              <w:left w:type="dxa" w:w="80"/>
              <w:bottom w:type="dxa" w:w="50"/>
              <w:right w:type="dxa" w:w="80"/>
            </w:tcMar>
          </w:tcPr>
          <w:p>
            <w:pPr>
              <w:spacing w:after="0"/>
              <w:jc w:val="right"/>
            </w:pPr>
            <w:r>
              <w:rPr>
                <w:sz w:val="17"/>
                <w:szCs w:val="17"/>
              </w:rPr>
              <w:t xml:space="preserve">$30,295</w:t>
            </w:r>
          </w:p>
        </w:tc>
        <w:tc>
          <w:tcPr>
            <w:tcW w:type="dxa" w:w="1040"/>
            <w:tcMar>
              <w:top w:type="dxa" w:w="50"/>
              <w:left w:type="dxa" w:w="80"/>
              <w:bottom w:type="dxa" w:w="50"/>
              <w:right w:type="dxa" w:w="80"/>
            </w:tcMar>
          </w:tcPr>
          <w:p>
            <w:pPr>
              <w:spacing w:after="0"/>
              <w:jc w:val="right"/>
            </w:pPr>
            <w:r>
              <w:rPr>
                <w:sz w:val="17"/>
                <w:szCs w:val="17"/>
              </w:rPr>
              <w:t xml:space="preserve">$7,962</w:t>
            </w:r>
          </w:p>
        </w:tc>
        <w:tc>
          <w:tcPr>
            <w:tcW w:type="dxa" w:w="1040"/>
            <w:tcMar>
              <w:top w:type="dxa" w:w="50"/>
              <w:left w:type="dxa" w:w="80"/>
              <w:bottom w:type="dxa" w:w="50"/>
              <w:right w:type="dxa" w:w="80"/>
            </w:tcMar>
          </w:tcPr>
          <w:p>
            <w:pPr>
              <w:spacing w:after="0"/>
              <w:jc w:val="right"/>
            </w:pPr>
            <w:r>
              <w:rPr>
                <w:sz w:val="17"/>
                <w:szCs w:val="17"/>
              </w:rPr>
              <w:t xml:space="preserve">$22,333</w:t>
            </w:r>
          </w:p>
        </w:tc>
        <w:tc>
          <w:tcPr>
            <w:tcW w:type="dxa" w:w="1040"/>
            <w:tcMar>
              <w:top w:type="dxa" w:w="50"/>
              <w:left w:type="dxa" w:w="80"/>
              <w:bottom w:type="dxa" w:w="50"/>
              <w:right w:type="dxa" w:w="80"/>
            </w:tcMar>
          </w:tcPr>
          <w:p>
            <w:pPr>
              <w:spacing w:after="0"/>
              <w:jc w:val="right"/>
            </w:pPr>
            <w:r>
              <w:rPr>
                <w:sz w:val="17"/>
                <w:szCs w:val="17"/>
              </w:rPr>
              <w:t xml:space="preserve">$24,157</w:t>
            </w:r>
          </w:p>
        </w:tc>
        <w:tc>
          <w:tcPr>
            <w:tcW w:type="dxa" w:w="1040"/>
            <w:tcMar>
              <w:top w:type="dxa" w:w="50"/>
              <w:left w:type="dxa" w:w="80"/>
              <w:bottom w:type="dxa" w:w="50"/>
              <w:right w:type="dxa" w:w="80"/>
            </w:tcMar>
          </w:tcPr>
          <w:p>
            <w:pPr>
              <w:spacing w:after="0"/>
              <w:jc w:val="right"/>
            </w:pPr>
            <w:r>
              <w:rPr>
                <w:sz w:val="17"/>
                <w:szCs w:val="17"/>
              </w:rPr>
              <w:t xml:space="preserve">$-1,824</w:t>
            </w:r>
          </w:p>
        </w:tc>
        <w:tc>
          <w:tcPr>
            <w:tcW w:type="dxa" w:w="1040"/>
            <w:tcMar>
              <w:top w:type="dxa" w:w="50"/>
              <w:left w:type="dxa" w:w="80"/>
              <w:bottom w:type="dxa" w:w="50"/>
              <w:right w:type="dxa" w:w="80"/>
            </w:tcMar>
          </w:tcPr>
          <w:p>
            <w:pPr>
              <w:spacing w:after="0"/>
              <w:jc w:val="right"/>
            </w:pPr>
            <w:r>
              <w:rPr>
                <w:sz w:val="17"/>
                <w:szCs w:val="17"/>
              </w:rPr>
              <w:t xml:space="preserve">$1,642</w:t>
            </w:r>
          </w:p>
        </w:tc>
        <w:tc>
          <w:tcPr>
            <w:tcW w:type="dxa" w:w="1040"/>
            <w:tcMar>
              <w:top w:type="dxa" w:w="50"/>
              <w:left w:type="dxa" w:w="80"/>
              <w:bottom w:type="dxa" w:w="50"/>
              <w:right w:type="dxa" w:w="80"/>
            </w:tcMar>
          </w:tcPr>
          <w:p>
            <w:pPr>
              <w:spacing w:after="0"/>
              <w:jc w:val="right"/>
            </w:pPr>
            <w:r>
              <w:rPr>
                <w:sz w:val="17"/>
                <w:szCs w:val="17"/>
              </w:rPr>
              <w:t xml:space="preserve">$-3,466</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4,186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$32,651</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$8,581</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$24,070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$24,157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$-88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$1,642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$-1,730</w:t>
            </w:r>
          </w:p>
        </w:tc>
      </w:tr>
      <w:tr>
        <w:tc>
          <w:tcPr>
            <w:tcW w:type="dxa" w:w="1040"/>
            <w:tcMar>
              <w:top w:type="dxa" w:w="50"/>
              <w:left w:type="dxa" w:w="80"/>
              <w:bottom w:type="dxa" w:w="50"/>
              <w:right w:type="dxa" w:w="80"/>
            </w:tcMar>
          </w:tcPr>
          <w:p>
            <w:pPr>
              <w:spacing w:after="0"/>
              <w:jc w:val="left"/>
            </w:pPr>
            <w:r>
              <w:rPr>
                <w:sz w:val="17"/>
                <w:szCs w:val="17"/>
              </w:rPr>
              <w:t xml:space="preserve">5</w:t>
            </w:r>
          </w:p>
        </w:tc>
        <w:tc>
          <w:tcPr>
            <w:tcW w:type="dxa" w:w="1040"/>
            <w:tcMar>
              <w:top w:type="dxa" w:w="50"/>
              <w:left w:type="dxa" w:w="80"/>
              <w:bottom w:type="dxa" w:w="50"/>
              <w:right w:type="dxa" w:w="80"/>
            </w:tcMar>
          </w:tcPr>
          <w:p>
            <w:pPr>
              <w:spacing w:after="0"/>
              <w:jc w:val="right"/>
            </w:pPr>
            <w:r>
              <w:rPr>
                <w:sz w:val="17"/>
                <w:szCs w:val="17"/>
              </w:rPr>
              <w:t xml:space="preserve">4,440</w:t>
            </w:r>
          </w:p>
        </w:tc>
        <w:tc>
          <w:tcPr>
            <w:tcW w:type="dxa" w:w="1040"/>
            <w:tcMar>
              <w:top w:type="dxa" w:w="50"/>
              <w:left w:type="dxa" w:w="80"/>
              <w:bottom w:type="dxa" w:w="50"/>
              <w:right w:type="dxa" w:w="80"/>
            </w:tcMar>
          </w:tcPr>
          <w:p>
            <w:pPr>
              <w:spacing w:after="0"/>
              <w:jc w:val="right"/>
            </w:pPr>
            <w:r>
              <w:rPr>
                <w:sz w:val="17"/>
                <w:szCs w:val="17"/>
              </w:rPr>
              <w:t xml:space="preserve">$34,632</w:t>
            </w:r>
          </w:p>
        </w:tc>
        <w:tc>
          <w:tcPr>
            <w:tcW w:type="dxa" w:w="1040"/>
            <w:tcMar>
              <w:top w:type="dxa" w:w="50"/>
              <w:left w:type="dxa" w:w="80"/>
              <w:bottom w:type="dxa" w:w="50"/>
              <w:right w:type="dxa" w:w="80"/>
            </w:tcMar>
          </w:tcPr>
          <w:p>
            <w:pPr>
              <w:spacing w:after="0"/>
              <w:jc w:val="right"/>
            </w:pPr>
            <w:r>
              <w:rPr>
                <w:sz w:val="17"/>
                <w:szCs w:val="17"/>
              </w:rPr>
              <w:t xml:space="preserve">$9,102</w:t>
            </w:r>
          </w:p>
        </w:tc>
        <w:tc>
          <w:tcPr>
            <w:tcW w:type="dxa" w:w="1040"/>
            <w:tcMar>
              <w:top w:type="dxa" w:w="50"/>
              <w:left w:type="dxa" w:w="80"/>
              <w:bottom w:type="dxa" w:w="50"/>
              <w:right w:type="dxa" w:w="80"/>
            </w:tcMar>
          </w:tcPr>
          <w:p>
            <w:pPr>
              <w:spacing w:after="0"/>
              <w:jc w:val="right"/>
            </w:pPr>
            <w:r>
              <w:rPr>
                <w:sz w:val="17"/>
                <w:szCs w:val="17"/>
              </w:rPr>
              <w:t xml:space="preserve">$25,530</w:t>
            </w:r>
          </w:p>
        </w:tc>
        <w:tc>
          <w:tcPr>
            <w:tcW w:type="dxa" w:w="1040"/>
            <w:tcMar>
              <w:top w:type="dxa" w:w="50"/>
              <w:left w:type="dxa" w:w="80"/>
              <w:bottom w:type="dxa" w:w="50"/>
              <w:right w:type="dxa" w:w="80"/>
            </w:tcMar>
          </w:tcPr>
          <w:p>
            <w:pPr>
              <w:spacing w:after="0"/>
              <w:jc w:val="right"/>
            </w:pPr>
            <w:r>
              <w:rPr>
                <w:sz w:val="17"/>
                <w:szCs w:val="17"/>
              </w:rPr>
              <w:t xml:space="preserve">$24,157</w:t>
            </w:r>
          </w:p>
        </w:tc>
        <w:tc>
          <w:tcPr>
            <w:tcW w:type="dxa" w:w="1040"/>
            <w:tcMar>
              <w:top w:type="dxa" w:w="50"/>
              <w:left w:type="dxa" w:w="80"/>
              <w:bottom w:type="dxa" w:w="50"/>
              <w:right w:type="dxa" w:w="80"/>
            </w:tcMar>
          </w:tcPr>
          <w:p>
            <w:pPr>
              <w:spacing w:after="0"/>
              <w:jc w:val="right"/>
            </w:pPr>
            <w:r>
              <w:rPr>
                <w:sz w:val="17"/>
                <w:szCs w:val="17"/>
              </w:rPr>
              <w:t xml:space="preserve">$1,373</w:t>
            </w:r>
          </w:p>
        </w:tc>
        <w:tc>
          <w:tcPr>
            <w:tcW w:type="dxa" w:w="1040"/>
            <w:tcMar>
              <w:top w:type="dxa" w:w="50"/>
              <w:left w:type="dxa" w:w="80"/>
              <w:bottom w:type="dxa" w:w="50"/>
              <w:right w:type="dxa" w:w="80"/>
            </w:tcMar>
          </w:tcPr>
          <w:p>
            <w:pPr>
              <w:spacing w:after="0"/>
              <w:jc w:val="right"/>
            </w:pPr>
            <w:r>
              <w:rPr>
                <w:sz w:val="17"/>
                <w:szCs w:val="17"/>
              </w:rPr>
              <w:t xml:space="preserve">$1,642</w:t>
            </w:r>
          </w:p>
        </w:tc>
        <w:tc>
          <w:tcPr>
            <w:tcW w:type="dxa" w:w="1040"/>
            <w:tcMar>
              <w:top w:type="dxa" w:w="50"/>
              <w:left w:type="dxa" w:w="80"/>
              <w:bottom w:type="dxa" w:w="50"/>
              <w:right w:type="dxa" w:w="80"/>
            </w:tcMar>
          </w:tcPr>
          <w:p>
            <w:pPr>
              <w:spacing w:after="0"/>
              <w:jc w:val="right"/>
            </w:pPr>
            <w:r>
              <w:rPr>
                <w:sz w:val="17"/>
                <w:szCs w:val="17"/>
              </w:rPr>
              <w:t xml:space="preserve">$-269</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4,715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$36,777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$9,666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$27,111</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$24,157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$2,954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$1,642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$1,312</w:t>
            </w:r>
          </w:p>
        </w:tc>
      </w:tr>
      <w:tr>
        <w:tc>
          <w:tcPr>
            <w:tcW w:type="dxa" w:w="1040"/>
            <w:tcMar>
              <w:top w:type="dxa" w:w="50"/>
              <w:left w:type="dxa" w:w="80"/>
              <w:bottom w:type="dxa" w:w="50"/>
              <w:right w:type="dxa" w:w="80"/>
            </w:tcMar>
          </w:tcPr>
          <w:p>
            <w:pPr>
              <w:spacing w:after="0"/>
              <w:jc w:val="left"/>
            </w:pPr>
            <w:r>
              <w:rPr>
                <w:sz w:val="17"/>
                <w:szCs w:val="17"/>
              </w:rPr>
              <w:t xml:space="preserve">7</w:t>
            </w:r>
          </w:p>
        </w:tc>
        <w:tc>
          <w:tcPr>
            <w:tcW w:type="dxa" w:w="1040"/>
            <w:tcMar>
              <w:top w:type="dxa" w:w="50"/>
              <w:left w:type="dxa" w:w="80"/>
              <w:bottom w:type="dxa" w:w="50"/>
              <w:right w:type="dxa" w:w="80"/>
            </w:tcMar>
          </w:tcPr>
          <w:p>
            <w:pPr>
              <w:spacing w:after="0"/>
              <w:jc w:val="right"/>
            </w:pPr>
            <w:r>
              <w:rPr>
                <w:sz w:val="17"/>
                <w:szCs w:val="17"/>
              </w:rPr>
              <w:t xml:space="preserve">5,084</w:t>
            </w:r>
          </w:p>
        </w:tc>
        <w:tc>
          <w:tcPr>
            <w:tcW w:type="dxa" w:w="1040"/>
            <w:tcMar>
              <w:top w:type="dxa" w:w="50"/>
              <w:left w:type="dxa" w:w="80"/>
              <w:bottom w:type="dxa" w:w="50"/>
              <w:right w:type="dxa" w:w="80"/>
            </w:tcMar>
          </w:tcPr>
          <w:p>
            <w:pPr>
              <w:spacing w:after="0"/>
              <w:jc w:val="right"/>
            </w:pPr>
            <w:r>
              <w:rPr>
                <w:sz w:val="17"/>
                <w:szCs w:val="17"/>
              </w:rPr>
              <w:t xml:space="preserve">$39,655</w:t>
            </w:r>
          </w:p>
        </w:tc>
        <w:tc>
          <w:tcPr>
            <w:tcW w:type="dxa" w:w="1040"/>
            <w:tcMar>
              <w:top w:type="dxa" w:w="50"/>
              <w:left w:type="dxa" w:w="80"/>
              <w:bottom w:type="dxa" w:w="50"/>
              <w:right w:type="dxa" w:w="80"/>
            </w:tcMar>
          </w:tcPr>
          <w:p>
            <w:pPr>
              <w:spacing w:after="0"/>
              <w:jc w:val="right"/>
            </w:pPr>
            <w:r>
              <w:rPr>
                <w:sz w:val="17"/>
                <w:szCs w:val="17"/>
              </w:rPr>
              <w:t xml:space="preserve">$10,422</w:t>
            </w:r>
          </w:p>
        </w:tc>
        <w:tc>
          <w:tcPr>
            <w:tcW w:type="dxa" w:w="1040"/>
            <w:tcMar>
              <w:top w:type="dxa" w:w="50"/>
              <w:left w:type="dxa" w:w="80"/>
              <w:bottom w:type="dxa" w:w="50"/>
              <w:right w:type="dxa" w:w="80"/>
            </w:tcMar>
          </w:tcPr>
          <w:p>
            <w:pPr>
              <w:spacing w:after="0"/>
              <w:jc w:val="right"/>
            </w:pPr>
            <w:r>
              <w:rPr>
                <w:sz w:val="17"/>
                <w:szCs w:val="17"/>
              </w:rPr>
              <w:t xml:space="preserve">$29,233</w:t>
            </w:r>
          </w:p>
        </w:tc>
        <w:tc>
          <w:tcPr>
            <w:tcW w:type="dxa" w:w="1040"/>
            <w:tcMar>
              <w:top w:type="dxa" w:w="50"/>
              <w:left w:type="dxa" w:w="80"/>
              <w:bottom w:type="dxa" w:w="50"/>
              <w:right w:type="dxa" w:w="80"/>
            </w:tcMar>
          </w:tcPr>
          <w:p>
            <w:pPr>
              <w:spacing w:after="0"/>
              <w:jc w:val="right"/>
            </w:pPr>
            <w:r>
              <w:rPr>
                <w:sz w:val="17"/>
                <w:szCs w:val="17"/>
              </w:rPr>
              <w:t xml:space="preserve">$24,157</w:t>
            </w:r>
          </w:p>
        </w:tc>
        <w:tc>
          <w:tcPr>
            <w:tcW w:type="dxa" w:w="1040"/>
            <w:tcMar>
              <w:top w:type="dxa" w:w="50"/>
              <w:left w:type="dxa" w:w="80"/>
              <w:bottom w:type="dxa" w:w="50"/>
              <w:right w:type="dxa" w:w="80"/>
            </w:tcMar>
          </w:tcPr>
          <w:p>
            <w:pPr>
              <w:spacing w:after="0"/>
              <w:jc w:val="right"/>
            </w:pPr>
            <w:r>
              <w:rPr>
                <w:sz w:val="17"/>
                <w:szCs w:val="17"/>
              </w:rPr>
              <w:t xml:space="preserve">$5,076</w:t>
            </w:r>
          </w:p>
        </w:tc>
        <w:tc>
          <w:tcPr>
            <w:tcW w:type="dxa" w:w="1040"/>
            <w:tcMar>
              <w:top w:type="dxa" w:w="50"/>
              <w:left w:type="dxa" w:w="80"/>
              <w:bottom w:type="dxa" w:w="50"/>
              <w:right w:type="dxa" w:w="80"/>
            </w:tcMar>
          </w:tcPr>
          <w:p>
            <w:pPr>
              <w:spacing w:after="0"/>
              <w:jc w:val="right"/>
            </w:pPr>
            <w:r>
              <w:rPr>
                <w:sz w:val="17"/>
                <w:szCs w:val="17"/>
              </w:rPr>
              <w:t xml:space="preserve">$1,642</w:t>
            </w:r>
          </w:p>
        </w:tc>
        <w:tc>
          <w:tcPr>
            <w:tcW w:type="dxa" w:w="1040"/>
            <w:tcMar>
              <w:top w:type="dxa" w:w="50"/>
              <w:left w:type="dxa" w:w="80"/>
              <w:bottom w:type="dxa" w:w="50"/>
              <w:right w:type="dxa" w:w="80"/>
            </w:tcMar>
          </w:tcPr>
          <w:p>
            <w:pPr>
              <w:spacing w:after="0"/>
              <w:jc w:val="right"/>
            </w:pPr>
            <w:r>
              <w:rPr>
                <w:sz w:val="17"/>
                <w:szCs w:val="17"/>
              </w:rPr>
              <w:t xml:space="preserve">$3,434</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5,159</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$40,240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$10,576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$29,664</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$24,157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$5,507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$1,642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$3,865</w:t>
            </w:r>
          </w:p>
        </w:tc>
      </w:tr>
      <w:tr>
        <w:tc>
          <w:tcPr>
            <w:tcW w:type="dxa" w:w="1040"/>
            <w:tcMar>
              <w:top w:type="dxa" w:w="50"/>
              <w:left w:type="dxa" w:w="80"/>
              <w:bottom w:type="dxa" w:w="50"/>
              <w:right w:type="dxa" w:w="80"/>
            </w:tcMar>
          </w:tcPr>
          <w:p>
            <w:pPr>
              <w:spacing w:after="0"/>
              <w:jc w:val="left"/>
            </w:pPr>
            <w:r>
              <w:rPr>
                <w:sz w:val="17"/>
                <w:szCs w:val="17"/>
              </w:rPr>
              <w:t xml:space="preserve">9</w:t>
            </w:r>
          </w:p>
        </w:tc>
        <w:tc>
          <w:tcPr>
            <w:tcW w:type="dxa" w:w="1040"/>
            <w:tcMar>
              <w:top w:type="dxa" w:w="50"/>
              <w:left w:type="dxa" w:w="80"/>
              <w:bottom w:type="dxa" w:w="50"/>
              <w:right w:type="dxa" w:w="80"/>
            </w:tcMar>
          </w:tcPr>
          <w:p>
            <w:pPr>
              <w:spacing w:after="0"/>
              <w:jc w:val="right"/>
            </w:pPr>
            <w:r>
              <w:rPr>
                <w:sz w:val="17"/>
                <w:szCs w:val="17"/>
              </w:rPr>
              <w:t xml:space="preserve">5,363</w:t>
            </w:r>
          </w:p>
        </w:tc>
        <w:tc>
          <w:tcPr>
            <w:tcW w:type="dxa" w:w="1040"/>
            <w:tcMar>
              <w:top w:type="dxa" w:w="50"/>
              <w:left w:type="dxa" w:w="80"/>
              <w:bottom w:type="dxa" w:w="50"/>
              <w:right w:type="dxa" w:w="80"/>
            </w:tcMar>
          </w:tcPr>
          <w:p>
            <w:pPr>
              <w:spacing w:after="0"/>
              <w:jc w:val="right"/>
            </w:pPr>
            <w:r>
              <w:rPr>
                <w:sz w:val="17"/>
                <w:szCs w:val="17"/>
              </w:rPr>
              <w:t xml:space="preserve">$41,831</w:t>
            </w:r>
          </w:p>
        </w:tc>
        <w:tc>
          <w:tcPr>
            <w:tcW w:type="dxa" w:w="1040"/>
            <w:tcMar>
              <w:top w:type="dxa" w:w="50"/>
              <w:left w:type="dxa" w:w="80"/>
              <w:bottom w:type="dxa" w:w="50"/>
              <w:right w:type="dxa" w:w="80"/>
            </w:tcMar>
          </w:tcPr>
          <w:p>
            <w:pPr>
              <w:spacing w:after="0"/>
              <w:jc w:val="right"/>
            </w:pPr>
            <w:r>
              <w:rPr>
                <w:sz w:val="17"/>
                <w:szCs w:val="17"/>
              </w:rPr>
              <w:t xml:space="preserve">$10,994</w:t>
            </w:r>
          </w:p>
        </w:tc>
        <w:tc>
          <w:tcPr>
            <w:tcW w:type="dxa" w:w="1040"/>
            <w:tcMar>
              <w:top w:type="dxa" w:w="50"/>
              <w:left w:type="dxa" w:w="80"/>
              <w:bottom w:type="dxa" w:w="50"/>
              <w:right w:type="dxa" w:w="80"/>
            </w:tcMar>
          </w:tcPr>
          <w:p>
            <w:pPr>
              <w:spacing w:after="0"/>
              <w:jc w:val="right"/>
            </w:pPr>
            <w:r>
              <w:rPr>
                <w:sz w:val="17"/>
                <w:szCs w:val="17"/>
              </w:rPr>
              <w:t xml:space="preserve">$30,837</w:t>
            </w:r>
          </w:p>
        </w:tc>
        <w:tc>
          <w:tcPr>
            <w:tcW w:type="dxa" w:w="1040"/>
            <w:tcMar>
              <w:top w:type="dxa" w:w="50"/>
              <w:left w:type="dxa" w:w="80"/>
              <w:bottom w:type="dxa" w:w="50"/>
              <w:right w:type="dxa" w:w="80"/>
            </w:tcMar>
          </w:tcPr>
          <w:p>
            <w:pPr>
              <w:spacing w:after="0"/>
              <w:jc w:val="right"/>
            </w:pPr>
            <w:r>
              <w:rPr>
                <w:sz w:val="17"/>
                <w:szCs w:val="17"/>
              </w:rPr>
              <w:t xml:space="preserve">$24,157</w:t>
            </w:r>
          </w:p>
        </w:tc>
        <w:tc>
          <w:tcPr>
            <w:tcW w:type="dxa" w:w="1040"/>
            <w:tcMar>
              <w:top w:type="dxa" w:w="50"/>
              <w:left w:type="dxa" w:w="80"/>
              <w:bottom w:type="dxa" w:w="50"/>
              <w:right w:type="dxa" w:w="80"/>
            </w:tcMar>
          </w:tcPr>
          <w:p>
            <w:pPr>
              <w:spacing w:after="0"/>
              <w:jc w:val="right"/>
            </w:pPr>
            <w:r>
              <w:rPr>
                <w:sz w:val="17"/>
                <w:szCs w:val="17"/>
              </w:rPr>
              <w:t xml:space="preserve">$6,680</w:t>
            </w:r>
          </w:p>
        </w:tc>
        <w:tc>
          <w:tcPr>
            <w:tcW w:type="dxa" w:w="1040"/>
            <w:tcMar>
              <w:top w:type="dxa" w:w="50"/>
              <w:left w:type="dxa" w:w="80"/>
              <w:bottom w:type="dxa" w:w="50"/>
              <w:right w:type="dxa" w:w="80"/>
            </w:tcMar>
          </w:tcPr>
          <w:p>
            <w:pPr>
              <w:spacing w:after="0"/>
              <w:jc w:val="right"/>
            </w:pPr>
            <w:r>
              <w:rPr>
                <w:sz w:val="17"/>
                <w:szCs w:val="17"/>
              </w:rPr>
              <w:t xml:space="preserve">$1,642</w:t>
            </w:r>
          </w:p>
        </w:tc>
        <w:tc>
          <w:tcPr>
            <w:tcW w:type="dxa" w:w="1040"/>
            <w:tcMar>
              <w:top w:type="dxa" w:w="50"/>
              <w:left w:type="dxa" w:w="80"/>
              <w:bottom w:type="dxa" w:w="50"/>
              <w:right w:type="dxa" w:w="80"/>
            </w:tcMar>
          </w:tcPr>
          <w:p>
            <w:pPr>
              <w:spacing w:after="0"/>
              <w:jc w:val="right"/>
            </w:pPr>
            <w:r>
              <w:rPr>
                <w:sz w:val="17"/>
                <w:szCs w:val="17"/>
              </w:rPr>
              <w:t xml:space="preserve">$5,038</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10</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5,642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$44,008</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$11,566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$32,442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$24,157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$8,285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$1,642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$6,642</w:t>
            </w:r>
          </w:p>
        </w:tc>
      </w:tr>
      <w:tr>
        <w:tc>
          <w:tcPr>
            <w:tcW w:type="dxa" w:w="1040"/>
            <w:tcMar>
              <w:top w:type="dxa" w:w="50"/>
              <w:left w:type="dxa" w:w="80"/>
              <w:bottom w:type="dxa" w:w="50"/>
              <w:right w:type="dxa" w:w="80"/>
            </w:tcMar>
          </w:tcPr>
          <w:p>
            <w:pPr>
              <w:spacing w:after="0"/>
              <w:jc w:val="left"/>
            </w:pPr>
            <w:r>
              <w:rPr>
                <w:sz w:val="17"/>
                <w:szCs w:val="17"/>
              </w:rPr>
              <w:t xml:space="preserve">11</w:t>
            </w:r>
          </w:p>
        </w:tc>
        <w:tc>
          <w:tcPr>
            <w:tcW w:type="dxa" w:w="1040"/>
            <w:tcMar>
              <w:top w:type="dxa" w:w="50"/>
              <w:left w:type="dxa" w:w="80"/>
              <w:bottom w:type="dxa" w:w="50"/>
              <w:right w:type="dxa" w:w="80"/>
            </w:tcMar>
          </w:tcPr>
          <w:p>
            <w:pPr>
              <w:spacing w:after="0"/>
              <w:jc w:val="right"/>
            </w:pPr>
            <w:r>
              <w:rPr>
                <w:sz w:val="17"/>
                <w:szCs w:val="17"/>
              </w:rPr>
              <w:t xml:space="preserve">5,921</w:t>
            </w:r>
          </w:p>
        </w:tc>
        <w:tc>
          <w:tcPr>
            <w:tcW w:type="dxa" w:w="1040"/>
            <w:tcMar>
              <w:top w:type="dxa" w:w="50"/>
              <w:left w:type="dxa" w:w="80"/>
              <w:bottom w:type="dxa" w:w="50"/>
              <w:right w:type="dxa" w:w="80"/>
            </w:tcMar>
          </w:tcPr>
          <w:p>
            <w:pPr>
              <w:spacing w:after="0"/>
              <w:jc w:val="right"/>
            </w:pPr>
            <w:r>
              <w:rPr>
                <w:sz w:val="17"/>
                <w:szCs w:val="17"/>
              </w:rPr>
              <w:t xml:space="preserve">$46,184</w:t>
            </w:r>
          </w:p>
        </w:tc>
        <w:tc>
          <w:tcPr>
            <w:tcW w:type="dxa" w:w="1040"/>
            <w:tcMar>
              <w:top w:type="dxa" w:w="50"/>
              <w:left w:type="dxa" w:w="80"/>
              <w:bottom w:type="dxa" w:w="50"/>
              <w:right w:type="dxa" w:w="80"/>
            </w:tcMar>
          </w:tcPr>
          <w:p>
            <w:pPr>
              <w:spacing w:after="0"/>
              <w:jc w:val="right"/>
            </w:pPr>
            <w:r>
              <w:rPr>
                <w:sz w:val="17"/>
                <w:szCs w:val="17"/>
              </w:rPr>
              <w:t xml:space="preserve">$12,138</w:t>
            </w:r>
          </w:p>
        </w:tc>
        <w:tc>
          <w:tcPr>
            <w:tcW w:type="dxa" w:w="1040"/>
            <w:tcMar>
              <w:top w:type="dxa" w:w="50"/>
              <w:left w:type="dxa" w:w="80"/>
              <w:bottom w:type="dxa" w:w="50"/>
              <w:right w:type="dxa" w:w="80"/>
            </w:tcMar>
          </w:tcPr>
          <w:p>
            <w:pPr>
              <w:spacing w:after="0"/>
              <w:jc w:val="right"/>
            </w:pPr>
            <w:r>
              <w:rPr>
                <w:sz w:val="17"/>
                <w:szCs w:val="17"/>
              </w:rPr>
              <w:t xml:space="preserve">$34,046</w:t>
            </w:r>
          </w:p>
        </w:tc>
        <w:tc>
          <w:tcPr>
            <w:tcW w:type="dxa" w:w="1040"/>
            <w:tcMar>
              <w:top w:type="dxa" w:w="50"/>
              <w:left w:type="dxa" w:w="80"/>
              <w:bottom w:type="dxa" w:w="50"/>
              <w:right w:type="dxa" w:w="80"/>
            </w:tcMar>
          </w:tcPr>
          <w:p>
            <w:pPr>
              <w:spacing w:after="0"/>
              <w:jc w:val="right"/>
            </w:pPr>
            <w:r>
              <w:rPr>
                <w:sz w:val="17"/>
                <w:szCs w:val="17"/>
              </w:rPr>
              <w:t xml:space="preserve">$24,157</w:t>
            </w:r>
          </w:p>
        </w:tc>
        <w:tc>
          <w:tcPr>
            <w:tcW w:type="dxa" w:w="1040"/>
            <w:tcMar>
              <w:top w:type="dxa" w:w="50"/>
              <w:left w:type="dxa" w:w="80"/>
              <w:bottom w:type="dxa" w:w="50"/>
              <w:right w:type="dxa" w:w="80"/>
            </w:tcMar>
          </w:tcPr>
          <w:p>
            <w:pPr>
              <w:spacing w:after="0"/>
              <w:jc w:val="right"/>
            </w:pPr>
            <w:r>
              <w:rPr>
                <w:sz w:val="17"/>
                <w:szCs w:val="17"/>
              </w:rPr>
              <w:t xml:space="preserve">$9,889</w:t>
            </w:r>
          </w:p>
        </w:tc>
        <w:tc>
          <w:tcPr>
            <w:tcW w:type="dxa" w:w="1040"/>
            <w:tcMar>
              <w:top w:type="dxa" w:w="50"/>
              <w:left w:type="dxa" w:w="80"/>
              <w:bottom w:type="dxa" w:w="50"/>
              <w:right w:type="dxa" w:w="80"/>
            </w:tcMar>
          </w:tcPr>
          <w:p>
            <w:pPr>
              <w:spacing w:after="0"/>
              <w:jc w:val="right"/>
            </w:pPr>
            <w:r>
              <w:rPr>
                <w:sz w:val="17"/>
                <w:szCs w:val="17"/>
              </w:rPr>
              <w:t xml:space="preserve">$1,642</w:t>
            </w:r>
          </w:p>
        </w:tc>
        <w:tc>
          <w:tcPr>
            <w:tcW w:type="dxa" w:w="1040"/>
            <w:tcMar>
              <w:top w:type="dxa" w:w="50"/>
              <w:left w:type="dxa" w:w="80"/>
              <w:bottom w:type="dxa" w:w="50"/>
              <w:right w:type="dxa" w:w="80"/>
            </w:tcMar>
          </w:tcPr>
          <w:p>
            <w:pPr>
              <w:spacing w:after="0"/>
              <w:jc w:val="right"/>
            </w:pPr>
            <w:r>
              <w:rPr>
                <w:sz w:val="17"/>
                <w:szCs w:val="17"/>
              </w:rPr>
              <w:t xml:space="preserve">$8,247</w:t>
            </w:r>
          </w:p>
        </w:tc>
      </w:tr>
      <w:tr>
        <w:tc>
          <w:tcPr>
            <w:tcW w:type="dxa" w:w="1040"/>
            <w:shd w:fill="EEF3F4" w:color="auto" w:val="clear"/>
            <w:tcMar>
              <w:top w:type="dxa" w:w="50"/>
              <w:left w:type="dxa" w:w="80"/>
              <w:bottom w:type="dxa" w:w="50"/>
              <w:right w:type="dxa" w:w="80"/>
            </w:tcMar>
          </w:tcPr>
          <w:p>
            <w:pPr>
              <w:spacing w:after="0"/>
              <w:jc w:val="left"/>
            </w:pPr>
            <w:r>
              <w:rPr>
                <w:sz w:val="17"/>
                <w:szCs w:val="17"/>
              </w:rPr>
              <w:t xml:space="preserve">12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6,125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$47,775</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$12,556</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$35,219</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$24,157</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$11,062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$1,642</w:t>
            </w:r>
          </w:p>
        </w:tc>
        <w:tc>
          <w:tcPr>
            <w:tcW w:type="dxa" w:w="1040"/>
            <w:shd w:fill="EEF3F4" w:color="auto" w:val="clear"/>
            <w:tcMar>
              <w:top w:type="dxa" w:w="50"/>
              <w:left w:type="dxa" w:w="80"/>
              <w:bottom w:type="dxa" w:w="50"/>
              <w:right w:type="dxa" w:w="80"/>
            </w:tcMar>
          </w:tcPr>
          <w:p>
            <w:pPr>
              <w:spacing w:after="0"/>
              <w:jc w:val="right"/>
            </w:pPr>
            <w:r>
              <w:rPr>
                <w:sz w:val="17"/>
                <w:szCs w:val="17"/>
              </w:rPr>
              <w:t xml:space="preserve">$9,420</w:t>
            </w:r>
          </w:p>
        </w:tc>
      </w:tr>
      <w:tr>
        <w:tc>
          <w:tcPr>
            <w:tcW w:type="dxa" w:w="1040"/>
            <w:tcMar>
              <w:top w:type="dxa" w:w="50"/>
              <w:left w:type="dxa" w:w="80"/>
              <w:bottom w:type="dxa" w:w="50"/>
              <w:right w:type="dxa" w:w="80"/>
            </w:tcMar>
          </w:tcPr>
          <w:p>
            <w:pPr>
              <w:spacing w:after="0"/>
              <w:jc w:val="left"/>
            </w:pPr>
            <w:r>
              <w:rPr>
                <w:b/>
                <w:bCs/>
                <w:sz w:val="17"/>
                <w:szCs w:val="17"/>
              </w:rPr>
              <w:t xml:space="preserve">Year 1</w:t>
            </w:r>
          </w:p>
        </w:tc>
        <w:tc>
          <w:tcPr>
            <w:tcW w:type="dxa" w:w="1040"/>
            <w:tcMar>
              <w:top w:type="dxa" w:w="50"/>
              <w:left w:type="dxa" w:w="80"/>
              <w:bottom w:type="dxa" w:w="50"/>
              <w:right w:type="dxa" w:w="80"/>
            </w:tcMar>
          </w:tcPr>
          <w:p>
            <w:pPr>
              <w:spacing w:after="0"/>
              <w:jc w:val="right"/>
            </w:pPr>
            <w:r>
              <w:rPr>
                <w:b/>
                <w:bCs/>
                <w:sz w:val="17"/>
                <w:szCs w:val="17"/>
              </w:rPr>
              <w:t xml:space="preserve">57,010</w:t>
            </w:r>
          </w:p>
        </w:tc>
        <w:tc>
          <w:tcPr>
            <w:tcW w:type="dxa" w:w="1040"/>
            <w:tcMar>
              <w:top w:type="dxa" w:w="50"/>
              <w:left w:type="dxa" w:w="80"/>
              <w:bottom w:type="dxa" w:w="50"/>
              <w:right w:type="dxa" w:w="80"/>
            </w:tcMar>
          </w:tcPr>
          <w:p>
            <w:pPr>
              <w:spacing w:after="0"/>
              <w:jc w:val="right"/>
            </w:pPr>
            <w:r>
              <w:rPr>
                <w:b/>
                <w:bCs/>
                <w:sz w:val="17"/>
                <w:szCs w:val="17"/>
              </w:rPr>
              <w:t xml:space="preserve">$444,678</w:t>
            </w:r>
          </w:p>
        </w:tc>
        <w:tc>
          <w:tcPr>
            <w:tcW w:type="dxa" w:w="1040"/>
            <w:tcMar>
              <w:top w:type="dxa" w:w="50"/>
              <w:left w:type="dxa" w:w="80"/>
              <w:bottom w:type="dxa" w:w="50"/>
              <w:right w:type="dxa" w:w="80"/>
            </w:tcMar>
          </w:tcPr>
          <w:p>
            <w:pPr>
              <w:spacing w:after="0"/>
              <w:jc w:val="right"/>
            </w:pPr>
            <w:r>
              <w:rPr>
                <w:b/>
                <w:bCs/>
                <w:sz w:val="17"/>
                <w:szCs w:val="17"/>
              </w:rPr>
              <w:t xml:space="preserve">$116,871</w:t>
            </w:r>
          </w:p>
        </w:tc>
        <w:tc>
          <w:tcPr>
            <w:tcW w:type="dxa" w:w="1040"/>
            <w:tcMar>
              <w:top w:type="dxa" w:w="50"/>
              <w:left w:type="dxa" w:w="80"/>
              <w:bottom w:type="dxa" w:w="50"/>
              <w:right w:type="dxa" w:w="80"/>
            </w:tcMar>
          </w:tcPr>
          <w:p>
            <w:pPr>
              <w:spacing w:after="0"/>
              <w:jc w:val="right"/>
            </w:pPr>
            <w:r>
              <w:rPr>
                <w:b/>
                <w:bCs/>
                <w:sz w:val="17"/>
                <w:szCs w:val="17"/>
              </w:rPr>
              <w:t xml:space="preserve">$327,808</w:t>
            </w:r>
          </w:p>
        </w:tc>
        <w:tc>
          <w:tcPr>
            <w:tcW w:type="dxa" w:w="1040"/>
            <w:tcMar>
              <w:top w:type="dxa" w:w="50"/>
              <w:left w:type="dxa" w:w="80"/>
              <w:bottom w:type="dxa" w:w="50"/>
              <w:right w:type="dxa" w:w="80"/>
            </w:tcMar>
          </w:tcPr>
          <w:p>
            <w:pPr>
              <w:spacing w:after="0"/>
              <w:jc w:val="right"/>
            </w:pPr>
            <w:r>
              <w:rPr>
                <w:b/>
                <w:bCs/>
                <w:sz w:val="17"/>
                <w:szCs w:val="17"/>
              </w:rPr>
              <w:t xml:space="preserve">$289,884</w:t>
            </w:r>
          </w:p>
        </w:tc>
        <w:tc>
          <w:tcPr>
            <w:tcW w:type="dxa" w:w="1040"/>
            <w:tcMar>
              <w:top w:type="dxa" w:w="50"/>
              <w:left w:type="dxa" w:w="80"/>
              <w:bottom w:type="dxa" w:w="50"/>
              <w:right w:type="dxa" w:w="80"/>
            </w:tcMar>
          </w:tcPr>
          <w:p>
            <w:pPr>
              <w:spacing w:after="0"/>
              <w:jc w:val="right"/>
            </w:pPr>
            <w:r>
              <w:rPr>
                <w:b/>
                <w:bCs/>
                <w:sz w:val="17"/>
                <w:szCs w:val="17"/>
              </w:rPr>
              <w:t xml:space="preserve">$37,924</w:t>
            </w:r>
          </w:p>
        </w:tc>
        <w:tc>
          <w:tcPr>
            <w:tcW w:type="dxa" w:w="1040"/>
            <w:tcMar>
              <w:top w:type="dxa" w:w="50"/>
              <w:left w:type="dxa" w:w="80"/>
              <w:bottom w:type="dxa" w:w="50"/>
              <w:right w:type="dxa" w:w="80"/>
            </w:tcMar>
          </w:tcPr>
          <w:p>
            <w:pPr>
              <w:spacing w:after="0"/>
              <w:jc w:val="right"/>
            </w:pPr>
            <w:r>
              <w:rPr>
                <w:b/>
                <w:bCs/>
                <w:sz w:val="17"/>
                <w:szCs w:val="17"/>
              </w:rPr>
              <w:t xml:space="preserve">$19,706</w:t>
            </w:r>
          </w:p>
        </w:tc>
        <w:tc>
          <w:tcPr>
            <w:tcW w:type="dxa" w:w="1040"/>
            <w:tcMar>
              <w:top w:type="dxa" w:w="50"/>
              <w:left w:type="dxa" w:w="80"/>
              <w:bottom w:type="dxa" w:w="50"/>
              <w:right w:type="dxa" w:w="80"/>
            </w:tcMar>
          </w:tcPr>
          <w:p>
            <w:pPr>
              <w:spacing w:after="0"/>
              <w:jc w:val="right"/>
            </w:pPr>
            <w:r>
              <w:rPr>
                <w:b/>
                <w:bCs/>
                <w:sz w:val="17"/>
                <w:szCs w:val="17"/>
              </w:rPr>
              <w:t xml:space="preserve">$18,217</w:t>
            </w:r>
          </w:p>
        </w:tc>
      </w:tr>
    </w:tbl>
    <w:p>
      <w:pPr>
        <w:spacing w:after="140"/>
      </w:pPr>
      <w:r>
        <w:t xml:space="preserve"/>
      </w:r>
    </w:p>
    <w:p>
      <w:pPr>
        <w:spacing w:after="90"/>
      </w:pPr>
      <w:r>
        <w:t xml:space="preserve"/>
      </w:r>
    </w:p>
    <w:p>
      <w:pPr>
        <w:pStyle w:val="Heading2"/>
        <w:spacing w:after="110" w:before="240"/>
      </w:pPr>
      <w:r>
        <w:t xml:space="preserve">Cash Flow — Year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Month</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Opening cash</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Net movement</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Closing cash</w:t>
            </w:r>
          </w:p>
        </w:tc>
      </w:tr>
      <w:tr>
        <w:tc>
          <w:tcPr>
            <w:tcW w:type="dxa" w:w="2340"/>
            <w:tcMar>
              <w:top w:type="dxa" w:w="50"/>
              <w:left w:type="dxa" w:w="80"/>
              <w:bottom w:type="dxa" w:w="50"/>
              <w:right w:type="dxa" w:w="80"/>
            </w:tcMar>
          </w:tcPr>
          <w:p>
            <w:pPr>
              <w:spacing w:after="0"/>
              <w:jc w:val="left"/>
            </w:pPr>
            <w:r>
              <w:rPr>
                <w:sz w:val="17"/>
                <w:szCs w:val="17"/>
              </w:rPr>
              <w:t xml:space="preserve">1</w:t>
            </w:r>
          </w:p>
        </w:tc>
        <w:tc>
          <w:tcPr>
            <w:tcW w:type="dxa" w:w="2340"/>
            <w:tcMar>
              <w:top w:type="dxa" w:w="50"/>
              <w:left w:type="dxa" w:w="80"/>
              <w:bottom w:type="dxa" w:w="50"/>
              <w:right w:type="dxa" w:w="80"/>
            </w:tcMar>
          </w:tcPr>
          <w:p>
            <w:pPr>
              <w:spacing w:after="0"/>
              <w:jc w:val="right"/>
            </w:pPr>
            <w:r>
              <w:rPr>
                <w:sz w:val="17"/>
                <w:szCs w:val="17"/>
              </w:rPr>
              <w:t xml:space="preserve">$66,000</w:t>
            </w:r>
          </w:p>
        </w:tc>
        <w:tc>
          <w:tcPr>
            <w:tcW w:type="dxa" w:w="2340"/>
            <w:tcMar>
              <w:top w:type="dxa" w:w="50"/>
              <w:left w:type="dxa" w:w="80"/>
              <w:bottom w:type="dxa" w:w="50"/>
              <w:right w:type="dxa" w:w="80"/>
            </w:tcMar>
          </w:tcPr>
          <w:p>
            <w:pPr>
              <w:spacing w:after="0"/>
              <w:jc w:val="right"/>
            </w:pPr>
            <w:r>
              <w:rPr>
                <w:sz w:val="17"/>
                <w:szCs w:val="17"/>
              </w:rPr>
              <w:t xml:space="preserve">$-8,549</w:t>
            </w:r>
          </w:p>
        </w:tc>
        <w:tc>
          <w:tcPr>
            <w:tcW w:type="dxa" w:w="2340"/>
            <w:tcMar>
              <w:top w:type="dxa" w:w="50"/>
              <w:left w:type="dxa" w:w="80"/>
              <w:bottom w:type="dxa" w:w="50"/>
              <w:right w:type="dxa" w:w="80"/>
            </w:tcMar>
          </w:tcPr>
          <w:p>
            <w:pPr>
              <w:spacing w:after="0"/>
              <w:jc w:val="right"/>
            </w:pPr>
            <w:r>
              <w:rPr>
                <w:sz w:val="17"/>
                <w:szCs w:val="17"/>
              </w:rPr>
              <w:t xml:space="preserve">$57,451</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$57,451</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$-5,726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$51,725</w:t>
            </w:r>
          </w:p>
        </w:tc>
      </w:tr>
      <w:tr>
        <w:tc>
          <w:tcPr>
            <w:tcW w:type="dxa" w:w="2340"/>
            <w:tcMar>
              <w:top w:type="dxa" w:w="50"/>
              <w:left w:type="dxa" w:w="80"/>
              <w:bottom w:type="dxa" w:w="50"/>
              <w:right w:type="dxa" w:w="80"/>
            </w:tcMar>
          </w:tcPr>
          <w:p>
            <w:pPr>
              <w:spacing w:after="0"/>
              <w:jc w:val="left"/>
            </w:pPr>
            <w:r>
              <w:rPr>
                <w:sz w:val="17"/>
                <w:szCs w:val="17"/>
              </w:rPr>
              <w:t xml:space="preserve">3</w:t>
            </w:r>
          </w:p>
        </w:tc>
        <w:tc>
          <w:tcPr>
            <w:tcW w:type="dxa" w:w="2340"/>
            <w:tcMar>
              <w:top w:type="dxa" w:w="50"/>
              <w:left w:type="dxa" w:w="80"/>
              <w:bottom w:type="dxa" w:w="50"/>
              <w:right w:type="dxa" w:w="80"/>
            </w:tcMar>
          </w:tcPr>
          <w:p>
            <w:pPr>
              <w:spacing w:after="0"/>
              <w:jc w:val="right"/>
            </w:pPr>
            <w:r>
              <w:rPr>
                <w:sz w:val="17"/>
                <w:szCs w:val="17"/>
              </w:rPr>
              <w:t xml:space="preserve">$51,725</w:t>
            </w:r>
          </w:p>
        </w:tc>
        <w:tc>
          <w:tcPr>
            <w:tcW w:type="dxa" w:w="2340"/>
            <w:tcMar>
              <w:top w:type="dxa" w:w="50"/>
              <w:left w:type="dxa" w:w="80"/>
              <w:bottom w:type="dxa" w:w="50"/>
              <w:right w:type="dxa" w:w="80"/>
            </w:tcMar>
          </w:tcPr>
          <w:p>
            <w:pPr>
              <w:spacing w:after="0"/>
              <w:jc w:val="right"/>
            </w:pPr>
            <w:r>
              <w:rPr>
                <w:sz w:val="17"/>
                <w:szCs w:val="17"/>
              </w:rPr>
              <w:t xml:space="preserve">$-3,466</w:t>
            </w:r>
          </w:p>
        </w:tc>
        <w:tc>
          <w:tcPr>
            <w:tcW w:type="dxa" w:w="2340"/>
            <w:tcMar>
              <w:top w:type="dxa" w:w="50"/>
              <w:left w:type="dxa" w:w="80"/>
              <w:bottom w:type="dxa" w:w="50"/>
              <w:right w:type="dxa" w:w="80"/>
            </w:tcMar>
          </w:tcPr>
          <w:p>
            <w:pPr>
              <w:spacing w:after="0"/>
              <w:jc w:val="right"/>
            </w:pPr>
            <w:r>
              <w:rPr>
                <w:sz w:val="17"/>
                <w:szCs w:val="17"/>
              </w:rPr>
              <w:t xml:space="preserve">$48,259</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4</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$48,259</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$-1,730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$46,529</w:t>
            </w:r>
          </w:p>
        </w:tc>
      </w:tr>
      <w:tr>
        <w:tc>
          <w:tcPr>
            <w:tcW w:type="dxa" w:w="2340"/>
            <w:tcMar>
              <w:top w:type="dxa" w:w="50"/>
              <w:left w:type="dxa" w:w="80"/>
              <w:bottom w:type="dxa" w:w="50"/>
              <w:right w:type="dxa" w:w="80"/>
            </w:tcMar>
          </w:tcPr>
          <w:p>
            <w:pPr>
              <w:spacing w:after="0"/>
              <w:jc w:val="left"/>
            </w:pPr>
            <w:r>
              <w:rPr>
                <w:sz w:val="17"/>
                <w:szCs w:val="17"/>
              </w:rPr>
              <w:t xml:space="preserve">5</w:t>
            </w:r>
          </w:p>
        </w:tc>
        <w:tc>
          <w:tcPr>
            <w:tcW w:type="dxa" w:w="2340"/>
            <w:tcMar>
              <w:top w:type="dxa" w:w="50"/>
              <w:left w:type="dxa" w:w="80"/>
              <w:bottom w:type="dxa" w:w="50"/>
              <w:right w:type="dxa" w:w="80"/>
            </w:tcMar>
          </w:tcPr>
          <w:p>
            <w:pPr>
              <w:spacing w:after="0"/>
              <w:jc w:val="right"/>
            </w:pPr>
            <w:r>
              <w:rPr>
                <w:sz w:val="17"/>
                <w:szCs w:val="17"/>
              </w:rPr>
              <w:t xml:space="preserve">$46,529</w:t>
            </w:r>
          </w:p>
        </w:tc>
        <w:tc>
          <w:tcPr>
            <w:tcW w:type="dxa" w:w="2340"/>
            <w:tcMar>
              <w:top w:type="dxa" w:w="50"/>
              <w:left w:type="dxa" w:w="80"/>
              <w:bottom w:type="dxa" w:w="50"/>
              <w:right w:type="dxa" w:w="80"/>
            </w:tcMar>
          </w:tcPr>
          <w:p>
            <w:pPr>
              <w:spacing w:after="0"/>
              <w:jc w:val="right"/>
            </w:pPr>
            <w:r>
              <w:rPr>
                <w:sz w:val="17"/>
                <w:szCs w:val="17"/>
              </w:rPr>
              <w:t xml:space="preserve">$-269</w:t>
            </w:r>
          </w:p>
        </w:tc>
        <w:tc>
          <w:tcPr>
            <w:tcW w:type="dxa" w:w="2340"/>
            <w:tcMar>
              <w:top w:type="dxa" w:w="50"/>
              <w:left w:type="dxa" w:w="80"/>
              <w:bottom w:type="dxa" w:w="50"/>
              <w:right w:type="dxa" w:w="80"/>
            </w:tcMar>
          </w:tcPr>
          <w:p>
            <w:pPr>
              <w:spacing w:after="0"/>
              <w:jc w:val="right"/>
            </w:pPr>
            <w:r>
              <w:rPr>
                <w:sz w:val="17"/>
                <w:szCs w:val="17"/>
              </w:rPr>
              <w:t xml:space="preserve">$46,260</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$46,260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$1,312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$47,572</w:t>
            </w:r>
          </w:p>
        </w:tc>
      </w:tr>
      <w:tr>
        <w:tc>
          <w:tcPr>
            <w:tcW w:type="dxa" w:w="2340"/>
            <w:tcMar>
              <w:top w:type="dxa" w:w="50"/>
              <w:left w:type="dxa" w:w="80"/>
              <w:bottom w:type="dxa" w:w="50"/>
              <w:right w:type="dxa" w:w="80"/>
            </w:tcMar>
          </w:tcPr>
          <w:p>
            <w:pPr>
              <w:spacing w:after="0"/>
              <w:jc w:val="left"/>
            </w:pPr>
            <w:r>
              <w:rPr>
                <w:sz w:val="17"/>
                <w:szCs w:val="17"/>
              </w:rPr>
              <w:t xml:space="preserve">7</w:t>
            </w:r>
          </w:p>
        </w:tc>
        <w:tc>
          <w:tcPr>
            <w:tcW w:type="dxa" w:w="2340"/>
            <w:tcMar>
              <w:top w:type="dxa" w:w="50"/>
              <w:left w:type="dxa" w:w="80"/>
              <w:bottom w:type="dxa" w:w="50"/>
              <w:right w:type="dxa" w:w="80"/>
            </w:tcMar>
          </w:tcPr>
          <w:p>
            <w:pPr>
              <w:spacing w:after="0"/>
              <w:jc w:val="right"/>
            </w:pPr>
            <w:r>
              <w:rPr>
                <w:sz w:val="17"/>
                <w:szCs w:val="17"/>
              </w:rPr>
              <w:t xml:space="preserve">$47,572</w:t>
            </w:r>
          </w:p>
        </w:tc>
        <w:tc>
          <w:tcPr>
            <w:tcW w:type="dxa" w:w="2340"/>
            <w:tcMar>
              <w:top w:type="dxa" w:w="50"/>
              <w:left w:type="dxa" w:w="80"/>
              <w:bottom w:type="dxa" w:w="50"/>
              <w:right w:type="dxa" w:w="80"/>
            </w:tcMar>
          </w:tcPr>
          <w:p>
            <w:pPr>
              <w:spacing w:after="0"/>
              <w:jc w:val="right"/>
            </w:pPr>
            <w:r>
              <w:rPr>
                <w:sz w:val="17"/>
                <w:szCs w:val="17"/>
              </w:rPr>
              <w:t xml:space="preserve">$3,434</w:t>
            </w:r>
          </w:p>
        </w:tc>
        <w:tc>
          <w:tcPr>
            <w:tcW w:type="dxa" w:w="2340"/>
            <w:tcMar>
              <w:top w:type="dxa" w:w="50"/>
              <w:left w:type="dxa" w:w="80"/>
              <w:bottom w:type="dxa" w:w="50"/>
              <w:right w:type="dxa" w:w="80"/>
            </w:tcMar>
          </w:tcPr>
          <w:p>
            <w:pPr>
              <w:spacing w:after="0"/>
              <w:jc w:val="right"/>
            </w:pPr>
            <w:r>
              <w:rPr>
                <w:sz w:val="17"/>
                <w:szCs w:val="17"/>
              </w:rPr>
              <w:t xml:space="preserve">$51,006</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8</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$51,006</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$3,865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$54,871</w:t>
            </w:r>
          </w:p>
        </w:tc>
      </w:tr>
      <w:tr>
        <w:tc>
          <w:tcPr>
            <w:tcW w:type="dxa" w:w="2340"/>
            <w:tcMar>
              <w:top w:type="dxa" w:w="50"/>
              <w:left w:type="dxa" w:w="80"/>
              <w:bottom w:type="dxa" w:w="50"/>
              <w:right w:type="dxa" w:w="80"/>
            </w:tcMar>
          </w:tcPr>
          <w:p>
            <w:pPr>
              <w:spacing w:after="0"/>
              <w:jc w:val="left"/>
            </w:pPr>
            <w:r>
              <w:rPr>
                <w:sz w:val="17"/>
                <w:szCs w:val="17"/>
              </w:rPr>
              <w:t xml:space="preserve">9</w:t>
            </w:r>
          </w:p>
        </w:tc>
        <w:tc>
          <w:tcPr>
            <w:tcW w:type="dxa" w:w="2340"/>
            <w:tcMar>
              <w:top w:type="dxa" w:w="50"/>
              <w:left w:type="dxa" w:w="80"/>
              <w:bottom w:type="dxa" w:w="50"/>
              <w:right w:type="dxa" w:w="80"/>
            </w:tcMar>
          </w:tcPr>
          <w:p>
            <w:pPr>
              <w:spacing w:after="0"/>
              <w:jc w:val="right"/>
            </w:pPr>
            <w:r>
              <w:rPr>
                <w:sz w:val="17"/>
                <w:szCs w:val="17"/>
              </w:rPr>
              <w:t xml:space="preserve">$54,871</w:t>
            </w:r>
          </w:p>
        </w:tc>
        <w:tc>
          <w:tcPr>
            <w:tcW w:type="dxa" w:w="2340"/>
            <w:tcMar>
              <w:top w:type="dxa" w:w="50"/>
              <w:left w:type="dxa" w:w="80"/>
              <w:bottom w:type="dxa" w:w="50"/>
              <w:right w:type="dxa" w:w="80"/>
            </w:tcMar>
          </w:tcPr>
          <w:p>
            <w:pPr>
              <w:spacing w:after="0"/>
              <w:jc w:val="right"/>
            </w:pPr>
            <w:r>
              <w:rPr>
                <w:sz w:val="17"/>
                <w:szCs w:val="17"/>
              </w:rPr>
              <w:t xml:space="preserve">$5,038</w:t>
            </w:r>
          </w:p>
        </w:tc>
        <w:tc>
          <w:tcPr>
            <w:tcW w:type="dxa" w:w="2340"/>
            <w:tcMar>
              <w:top w:type="dxa" w:w="50"/>
              <w:left w:type="dxa" w:w="80"/>
              <w:bottom w:type="dxa" w:w="50"/>
              <w:right w:type="dxa" w:w="80"/>
            </w:tcMar>
          </w:tcPr>
          <w:p>
            <w:pPr>
              <w:spacing w:after="0"/>
              <w:jc w:val="right"/>
            </w:pPr>
            <w:r>
              <w:rPr>
                <w:sz w:val="17"/>
                <w:szCs w:val="17"/>
              </w:rPr>
              <w:t xml:space="preserve">$59,909</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10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$59,909</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$6,642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$66,551</w:t>
            </w:r>
          </w:p>
        </w:tc>
      </w:tr>
      <w:tr>
        <w:tc>
          <w:tcPr>
            <w:tcW w:type="dxa" w:w="2340"/>
            <w:tcMar>
              <w:top w:type="dxa" w:w="50"/>
              <w:left w:type="dxa" w:w="80"/>
              <w:bottom w:type="dxa" w:w="50"/>
              <w:right w:type="dxa" w:w="80"/>
            </w:tcMar>
          </w:tcPr>
          <w:p>
            <w:pPr>
              <w:spacing w:after="0"/>
              <w:jc w:val="left"/>
            </w:pPr>
            <w:r>
              <w:rPr>
                <w:sz w:val="17"/>
                <w:szCs w:val="17"/>
              </w:rPr>
              <w:t xml:space="preserve">11</w:t>
            </w:r>
          </w:p>
        </w:tc>
        <w:tc>
          <w:tcPr>
            <w:tcW w:type="dxa" w:w="2340"/>
            <w:tcMar>
              <w:top w:type="dxa" w:w="50"/>
              <w:left w:type="dxa" w:w="80"/>
              <w:bottom w:type="dxa" w:w="50"/>
              <w:right w:type="dxa" w:w="80"/>
            </w:tcMar>
          </w:tcPr>
          <w:p>
            <w:pPr>
              <w:spacing w:after="0"/>
              <w:jc w:val="right"/>
            </w:pPr>
            <w:r>
              <w:rPr>
                <w:sz w:val="17"/>
                <w:szCs w:val="17"/>
              </w:rPr>
              <w:t xml:space="preserve">$66,551</w:t>
            </w:r>
          </w:p>
        </w:tc>
        <w:tc>
          <w:tcPr>
            <w:tcW w:type="dxa" w:w="2340"/>
            <w:tcMar>
              <w:top w:type="dxa" w:w="50"/>
              <w:left w:type="dxa" w:w="80"/>
              <w:bottom w:type="dxa" w:w="50"/>
              <w:right w:type="dxa" w:w="80"/>
            </w:tcMar>
          </w:tcPr>
          <w:p>
            <w:pPr>
              <w:spacing w:after="0"/>
              <w:jc w:val="right"/>
            </w:pPr>
            <w:r>
              <w:rPr>
                <w:sz w:val="17"/>
                <w:szCs w:val="17"/>
              </w:rPr>
              <w:t xml:space="preserve">$8,247</w:t>
            </w:r>
          </w:p>
        </w:tc>
        <w:tc>
          <w:tcPr>
            <w:tcW w:type="dxa" w:w="2340"/>
            <w:tcMar>
              <w:top w:type="dxa" w:w="50"/>
              <w:left w:type="dxa" w:w="80"/>
              <w:bottom w:type="dxa" w:w="50"/>
              <w:right w:type="dxa" w:w="80"/>
            </w:tcMar>
          </w:tcPr>
          <w:p>
            <w:pPr>
              <w:spacing w:after="0"/>
              <w:jc w:val="right"/>
            </w:pPr>
            <w:r>
              <w:rPr>
                <w:sz w:val="17"/>
                <w:szCs w:val="17"/>
              </w:rPr>
              <w:t xml:space="preserve">$74,798</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12</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$74,798</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$9,420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$84,217</w:t>
            </w:r>
          </w:p>
        </w:tc>
      </w:tr>
    </w:tbl>
    <w:p>
      <w:pPr>
        <w:spacing w:after="140"/>
      </w:pPr>
      <w:r>
        <w:t xml:space="preserve"/>
      </w:r>
    </w:p>
    <w:p>
      <w:pPr>
        <w:spacing w:after="90"/>
      </w:pPr>
      <w:r>
        <w:t xml:space="preserve"/>
      </w:r>
    </w:p>
    <w:p>
      <w:pPr>
        <w:pStyle w:val="Heading2"/>
        <w:spacing w:after="110" w:before="240"/>
      </w:pPr>
      <w:r>
        <w:t xml:space="preserve">Break-Even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Break-even</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Value</w:t>
            </w:r>
          </w:p>
        </w:tc>
      </w:tr>
      <w:tr>
        <w:tc>
          <w:tcPr>
            <w:tcW w:type="dxa" w:w="4680"/>
            <w:tcMar>
              <w:top w:type="dxa" w:w="50"/>
              <w:left w:type="dxa" w:w="80"/>
              <w:bottom w:type="dxa" w:w="50"/>
              <w:right w:type="dxa" w:w="80"/>
            </w:tcMar>
          </w:tcPr>
          <w:p>
            <w:pPr>
              <w:spacing w:after="0"/>
              <w:jc w:val="left"/>
            </w:pPr>
            <w:r>
              <w:rPr>
                <w:sz w:val="17"/>
                <w:szCs w:val="17"/>
              </w:rPr>
              <w:t xml:space="preserve">Contribution margin per unit</w:t>
            </w:r>
          </w:p>
        </w:tc>
        <w:tc>
          <w:tcPr>
            <w:tcW w:type="dxa" w:w="4680"/>
            <w:tcMar>
              <w:top w:type="dxa" w:w="50"/>
              <w:left w:type="dxa" w:w="80"/>
              <w:bottom w:type="dxa" w:w="50"/>
              <w:right w:type="dxa" w:w="80"/>
            </w:tcMar>
          </w:tcPr>
          <w:p>
            <w:pPr>
              <w:spacing w:after="0"/>
              <w:jc w:val="right"/>
            </w:pPr>
            <w:r>
              <w:rPr>
                <w:sz w:val="17"/>
                <w:szCs w:val="17"/>
              </w:rPr>
              <w:t xml:space="preserve">$5.75</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Fixed costs plus debt service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$25,799</w:t>
            </w:r>
          </w:p>
        </w:tc>
      </w:tr>
      <w:tr>
        <w:tc>
          <w:tcPr>
            <w:tcW w:type="dxa" w:w="4680"/>
            <w:tcMar>
              <w:top w:type="dxa" w:w="50"/>
              <w:left w:type="dxa" w:w="80"/>
              <w:bottom w:type="dxa" w:w="50"/>
              <w:right w:type="dxa" w:w="80"/>
            </w:tcMar>
          </w:tcPr>
          <w:p>
            <w:pPr>
              <w:spacing w:after="0"/>
              <w:jc w:val="left"/>
            </w:pPr>
            <w:r>
              <w:rPr>
                <w:sz w:val="17"/>
                <w:szCs w:val="17"/>
              </w:rPr>
              <w:t xml:space="preserve">Break-even volume</w:t>
            </w:r>
          </w:p>
        </w:tc>
        <w:tc>
          <w:tcPr>
            <w:tcW w:type="dxa" w:w="4680"/>
            <w:tcMar>
              <w:top w:type="dxa" w:w="50"/>
              <w:left w:type="dxa" w:w="80"/>
              <w:bottom w:type="dxa" w:w="50"/>
              <w:right w:type="dxa" w:w="80"/>
            </w:tcMar>
          </w:tcPr>
          <w:p>
            <w:pPr>
              <w:spacing w:after="0"/>
              <w:jc w:val="right"/>
            </w:pPr>
            <w:r>
              <w:rPr>
                <w:sz w:val="17"/>
                <w:szCs w:val="17"/>
              </w:rPr>
              <w:t xml:space="preserve">4,487 units/month</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Break-even revenue</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$34,999</w:t>
            </w:r>
          </w:p>
        </w:tc>
      </w:tr>
      <w:tr>
        <w:tc>
          <w:tcPr>
            <w:tcW w:type="dxa" w:w="4680"/>
            <w:tcMar>
              <w:top w:type="dxa" w:w="50"/>
              <w:left w:type="dxa" w:w="80"/>
              <w:bottom w:type="dxa" w:w="50"/>
              <w:right w:type="dxa" w:w="80"/>
            </w:tcMar>
          </w:tcPr>
          <w:p>
            <w:pPr>
              <w:spacing w:after="0"/>
              <w:jc w:val="left"/>
            </w:pPr>
            <w:r>
              <w:rPr>
                <w:sz w:val="17"/>
                <w:szCs w:val="17"/>
              </w:rPr>
              <w:t xml:space="preserve">Share of capacity required</w:t>
            </w:r>
          </w:p>
        </w:tc>
        <w:tc>
          <w:tcPr>
            <w:tcW w:type="dxa" w:w="4680"/>
            <w:tcMar>
              <w:top w:type="dxa" w:w="50"/>
              <w:left w:type="dxa" w:w="80"/>
              <w:bottom w:type="dxa" w:w="50"/>
              <w:right w:type="dxa" w:w="80"/>
            </w:tcMar>
          </w:tcPr>
          <w:p>
            <w:pPr>
              <w:spacing w:after="0"/>
              <w:jc w:val="right"/>
            </w:pPr>
            <w:r>
              <w:rPr>
                <w:sz w:val="17"/>
                <w:szCs w:val="17"/>
              </w:rPr>
              <w:t xml:space="preserve">57.5%</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Month reached</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6</w:t>
            </w:r>
          </w:p>
        </w:tc>
      </w:tr>
    </w:tbl>
    <w:p>
      <w:pPr>
        <w:spacing w:after="140"/>
      </w:pPr>
      <w:r>
        <w:t xml:space="preserve"/>
      </w:r>
    </w:p>
    <w:p>
      <w:pPr>
        <w:spacing w:after="90"/>
      </w:pPr>
      <w:r>
        <w:t xml:space="preserve"/>
      </w:r>
    </w:p>
    <w:p>
      <w:pPr>
        <w:pStyle w:val="Heading2"/>
        <w:spacing w:after="110" w:before="240"/>
      </w:pPr>
      <w:r>
        <w:t xml:space="preserve">Scenario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Scenario</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Year-1 revenue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Cash low point</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Year-1 DSCR</w:t>
            </w:r>
          </w:p>
        </w:tc>
      </w:tr>
      <w:tr>
        <w:tc>
          <w:tcPr>
            <w:tcW w:type="dxa" w:w="2340"/>
            <w:tcMar>
              <w:top w:type="dxa" w:w="50"/>
              <w:left w:type="dxa" w:w="80"/>
              <w:bottom w:type="dxa" w:w="50"/>
              <w:right w:type="dxa" w:w="80"/>
            </w:tcMar>
          </w:tcPr>
          <w:p>
            <w:pPr>
              <w:spacing w:after="0"/>
              <w:jc w:val="left"/>
            </w:pPr>
            <w:r>
              <w:rPr>
                <w:sz w:val="17"/>
                <w:szCs w:val="17"/>
              </w:rPr>
              <w:t xml:space="preserve">Conservative (−20% volume)</w:t>
            </w:r>
          </w:p>
        </w:tc>
        <w:tc>
          <w:tcPr>
            <w:tcW w:type="dxa" w:w="2340"/>
            <w:tcMar>
              <w:top w:type="dxa" w:w="50"/>
              <w:left w:type="dxa" w:w="80"/>
              <w:bottom w:type="dxa" w:w="50"/>
              <w:right w:type="dxa" w:w="80"/>
            </w:tcMar>
          </w:tcPr>
          <w:p>
            <w:pPr>
              <w:spacing w:after="0"/>
              <w:jc w:val="right"/>
            </w:pPr>
            <w:r>
              <w:rPr>
                <w:sz w:val="17"/>
                <w:szCs w:val="17"/>
              </w:rPr>
              <w:t xml:space="preserve">$355,742</w:t>
            </w:r>
          </w:p>
        </w:tc>
        <w:tc>
          <w:tcPr>
            <w:tcW w:type="dxa" w:w="2340"/>
            <w:tcMar>
              <w:top w:type="dxa" w:w="50"/>
              <w:left w:type="dxa" w:w="80"/>
              <w:bottom w:type="dxa" w:w="50"/>
              <w:right w:type="dxa" w:w="80"/>
            </w:tcMar>
          </w:tcPr>
          <w:p>
            <w:pPr>
              <w:spacing w:after="0"/>
              <w:jc w:val="right"/>
            </w:pPr>
            <w:r>
              <w:rPr>
                <w:sz w:val="17"/>
                <w:szCs w:val="17"/>
              </w:rPr>
              <w:t xml:space="preserve">$14,685</w:t>
            </w:r>
          </w:p>
        </w:tc>
        <w:tc>
          <w:tcPr>
            <w:tcW w:type="dxa" w:w="2340"/>
            <w:tcMar>
              <w:top w:type="dxa" w:w="50"/>
              <w:left w:type="dxa" w:w="80"/>
              <w:bottom w:type="dxa" w:w="50"/>
              <w:right w:type="dxa" w:w="80"/>
            </w:tcMar>
          </w:tcPr>
          <w:p>
            <w:pPr>
              <w:spacing w:after="0"/>
              <w:jc w:val="right"/>
            </w:pPr>
            <w:r>
              <w:rPr>
                <w:sz w:val="17"/>
                <w:szCs w:val="17"/>
              </w:rPr>
              <w:t xml:space="preserve">-1.4</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Base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$444,678</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$46,260</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1.92</w:t>
            </w:r>
          </w:p>
        </w:tc>
      </w:tr>
      <w:tr>
        <w:tc>
          <w:tcPr>
            <w:tcW w:type="dxa" w:w="2340"/>
            <w:tcMar>
              <w:top w:type="dxa" w:w="50"/>
              <w:left w:type="dxa" w:w="80"/>
              <w:bottom w:type="dxa" w:w="50"/>
              <w:right w:type="dxa" w:w="80"/>
            </w:tcMar>
          </w:tcPr>
          <w:p>
            <w:pPr>
              <w:spacing w:after="0"/>
              <w:jc w:val="left"/>
            </w:pPr>
            <w:r>
              <w:rPr>
                <w:sz w:val="17"/>
                <w:szCs w:val="17"/>
              </w:rPr>
              <w:t xml:space="preserve">Strong (+20% volume)</w:t>
            </w:r>
          </w:p>
        </w:tc>
        <w:tc>
          <w:tcPr>
            <w:tcW w:type="dxa" w:w="2340"/>
            <w:tcMar>
              <w:top w:type="dxa" w:w="50"/>
              <w:left w:type="dxa" w:w="80"/>
              <w:bottom w:type="dxa" w:w="50"/>
              <w:right w:type="dxa" w:w="80"/>
            </w:tcMar>
          </w:tcPr>
          <w:p>
            <w:pPr>
              <w:spacing w:after="0"/>
              <w:jc w:val="right"/>
            </w:pPr>
            <w:r>
              <w:rPr>
                <w:sz w:val="17"/>
                <w:szCs w:val="17"/>
              </w:rPr>
              <w:t xml:space="preserve">$533,606</w:t>
            </w:r>
          </w:p>
        </w:tc>
        <w:tc>
          <w:tcPr>
            <w:tcW w:type="dxa" w:w="2340"/>
            <w:tcMar>
              <w:top w:type="dxa" w:w="50"/>
              <w:left w:type="dxa" w:w="80"/>
              <w:bottom w:type="dxa" w:w="50"/>
              <w:right w:type="dxa" w:w="80"/>
            </w:tcMar>
          </w:tcPr>
          <w:p>
            <w:pPr>
              <w:spacing w:after="0"/>
              <w:jc w:val="right"/>
            </w:pPr>
            <w:r>
              <w:rPr>
                <w:sz w:val="17"/>
                <w:szCs w:val="17"/>
              </w:rPr>
              <w:t xml:space="preserve">$59,188</w:t>
            </w:r>
          </w:p>
        </w:tc>
        <w:tc>
          <w:tcPr>
            <w:tcW w:type="dxa" w:w="2340"/>
            <w:tcMar>
              <w:top w:type="dxa" w:w="50"/>
              <w:left w:type="dxa" w:w="80"/>
              <w:bottom w:type="dxa" w:w="50"/>
              <w:right w:type="dxa" w:w="80"/>
            </w:tcMar>
          </w:tcPr>
          <w:p>
            <w:pPr>
              <w:spacing w:after="0"/>
              <w:jc w:val="right"/>
            </w:pPr>
            <w:r>
              <w:rPr>
                <w:sz w:val="17"/>
                <w:szCs w:val="17"/>
              </w:rPr>
              <w:t xml:space="preserve">5.25</w:t>
            </w:r>
          </w:p>
        </w:tc>
      </w:tr>
    </w:tbl>
    <w:p>
      <w:pPr>
        <w:spacing w:after="140"/>
      </w:pPr>
      <w:r>
        <w:t xml:space="preserve"/>
      </w:r>
    </w:p>
    <w:p>
      <w:pPr>
        <w:spacing w:after="90"/>
      </w:pPr>
      <w:r>
        <w:t xml:space="preserve"/>
      </w:r>
    </w:p>
    <w:p>
      <w:pPr>
        <w:pStyle w:val="Heading1"/>
        <w:spacing w:after="140" w:before="320"/>
      </w:pPr>
      <w:r>
        <w:t xml:space="preserve">Funding Request and Use of Funds</w:t>
      </w:r>
    </w:p>
    <w:p>
      <w:pPr>
        <w:spacing w:after="130"/>
      </w:pPr>
      <w:r>
        <w:t xml:space="preserve">Harbor Lane Coffee LLC requests an SBA-guaranteed loan of $118,000, to be combined with $42,000 in owner equity, for total funds of $160,000. The owners will provide the equity from seasoned personal savings held for 22 months. The loan is structured over 120 months at 11.25 percent, producing a monthly debt service of $1,642.19. Both owners will execute personal guarantees, and the loan will be secured by the espresso equipment and grinders valued at $24,500, refrigeration and fit-out valued at $16,600, and a 2021 personal vehicle valued at $18,000.</w:t>
      </w:r>
    </w:p>
    <w:p>
      <w:pPr>
        <w:spacing w:after="90"/>
      </w:pPr>
      <w:r>
        <w:t xml:space="preserve"/>
      </w:r>
    </w:p>
    <w:p>
      <w:pPr>
        <w:spacing w:after="130"/>
      </w:pPr>
      <w:r>
        <w:t xml:space="preserve">The $118,000 loan proceeds will be applied as follows: $40,800 for build-out and plumbing compliance, $24,500 for espresso equipment and grinders, $19,700 for refrigeration, furniture, and POS hardware, $9,000 for signage, permits, and contingency, and $24,000 for working capital. These uses align with the $94,000 in total startup capital expenditures and leave a $32,000 surplus within the overall funding package. The $24,000 working-capital component is sized to cover operating losses through the projected cash-trough month and to reach break-even at month 6.</w:t>
      </w:r>
    </w:p>
    <w:p>
      <w:pPr>
        <w:spacing w:after="90"/>
      </w:pPr>
      <w:r>
        <w:t xml:space="preserve"/>
      </w:r>
    </w:p>
    <w:p>
      <w:pPr>
        <w:spacing w:after="130"/>
      </w:pPr>
      <w:r>
        <w:t xml:space="preserve">The lease for the Portland location carries a 60-month term with 3 percent annual escalation and a personal guarantee. Monthly fixed operating expenses are projected at $24,157, including $13,387 in payroll for 3.8 full-time equivalents. At steady-state volume of 6,200 transactions per month, monthly revenue is projected at $48,360. The resulting debt-service coverage ratios are 1.92 in year 1, 2.19 in year 2, and 2.37 in year 3. All figures are derived from the operator’s stated ramp assumptions, unit economics, and capacity constraints.</w:t>
      </w:r>
    </w:p>
    <w:p>
      <w:pPr>
        <w:spacing w:after="90"/>
      </w:pPr>
      <w:r>
        <w:t xml:space="preserve"/>
      </w:r>
    </w:p>
    <w:p>
      <w:pPr>
        <w:pStyle w:val="Heading2"/>
        <w:spacing w:after="110" w:before="240"/>
      </w:pPr>
      <w:r>
        <w:t xml:space="preserve">Use of Funds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shd w:fill="0F4C5C" w:color="auto" w:val="clear"/>
            <w:tcMar>
              <w:top w:type="dxa" w:w="50"/>
              <w:left w:type="dxa" w:w="80"/>
              <w:bottom w:type="dxa" w:w="50"/>
              <w:right w:type="dxa" w:w="80"/>
            </w:tcMar>
          </w:tcPr>
          <w:p>
            <w:pPr>
              <w:spacing w:after="0"/>
              <w:jc w:val="left"/>
            </w:pPr>
            <w:r>
              <w:rPr>
                <w:b/>
                <w:bCs/>
                <w:color w:val="FFFFFF"/>
                <w:sz w:val="17"/>
                <w:szCs w:val="17"/>
              </w:rPr>
              <w:t xml:space="preserve">Use of funds</w:t>
            </w:r>
          </w:p>
        </w:tc>
        <w:tc>
          <w:tcPr>
            <w:tcW w:type="dxa" w:w="4680"/>
            <w:shd w:fill="0F4C5C" w:color="auto" w:val="clear"/>
            <w:tcMar>
              <w:top w:type="dxa" w:w="50"/>
              <w:left w:type="dxa" w:w="80"/>
              <w:bottom w:type="dxa" w:w="50"/>
              <w:right w:type="dxa" w:w="80"/>
            </w:tcMar>
          </w:tcPr>
          <w:p>
            <w:pPr>
              <w:spacing w:after="0"/>
              <w:jc w:val="right"/>
            </w:pPr>
            <w:r>
              <w:rPr>
                <w:b/>
                <w:bCs/>
                <w:color w:val="FFFFFF"/>
                <w:sz w:val="17"/>
                <w:szCs w:val="17"/>
              </w:rPr>
              <w:t xml:space="preserve">Amount</w:t>
            </w:r>
          </w:p>
        </w:tc>
      </w:tr>
      <w:tr>
        <w:tc>
          <w:tcPr>
            <w:tcW w:type="dxa" w:w="4680"/>
            <w:tcMar>
              <w:top w:type="dxa" w:w="50"/>
              <w:left w:type="dxa" w:w="80"/>
              <w:bottom w:type="dxa" w:w="50"/>
              <w:right w:type="dxa" w:w="80"/>
            </w:tcMar>
          </w:tcPr>
          <w:p>
            <w:pPr>
              <w:spacing w:after="0"/>
              <w:jc w:val="left"/>
            </w:pPr>
            <w:r>
              <w:rPr>
                <w:sz w:val="17"/>
                <w:szCs w:val="17"/>
              </w:rPr>
              <w:t xml:space="preserve">Build-out and plumbing compliance</w:t>
            </w:r>
          </w:p>
        </w:tc>
        <w:tc>
          <w:tcPr>
            <w:tcW w:type="dxa" w:w="4680"/>
            <w:tcMar>
              <w:top w:type="dxa" w:w="50"/>
              <w:left w:type="dxa" w:w="80"/>
              <w:bottom w:type="dxa" w:w="50"/>
              <w:right w:type="dxa" w:w="80"/>
            </w:tcMar>
          </w:tcPr>
          <w:p>
            <w:pPr>
              <w:spacing w:after="0"/>
              <w:jc w:val="right"/>
            </w:pPr>
            <w:r>
              <w:rPr>
                <w:sz w:val="17"/>
                <w:szCs w:val="17"/>
              </w:rPr>
              <w:t xml:space="preserve">$40,800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Espresso equipment and grinders</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$24,500</w:t>
            </w:r>
          </w:p>
        </w:tc>
      </w:tr>
      <w:tr>
        <w:tc>
          <w:tcPr>
            <w:tcW w:type="dxa" w:w="4680"/>
            <w:tcMar>
              <w:top w:type="dxa" w:w="50"/>
              <w:left w:type="dxa" w:w="80"/>
              <w:bottom w:type="dxa" w:w="50"/>
              <w:right w:type="dxa" w:w="80"/>
            </w:tcMar>
          </w:tcPr>
          <w:p>
            <w:pPr>
              <w:spacing w:after="0"/>
              <w:jc w:val="left"/>
            </w:pPr>
            <w:r>
              <w:rPr>
                <w:sz w:val="17"/>
                <w:szCs w:val="17"/>
              </w:rPr>
              <w:t xml:space="preserve">Refrigeration, furniture and POS</w:t>
            </w:r>
          </w:p>
        </w:tc>
        <w:tc>
          <w:tcPr>
            <w:tcW w:type="dxa" w:w="4680"/>
            <w:tcMar>
              <w:top w:type="dxa" w:w="50"/>
              <w:left w:type="dxa" w:w="80"/>
              <w:bottom w:type="dxa" w:w="50"/>
              <w:right w:type="dxa" w:w="80"/>
            </w:tcMar>
          </w:tcPr>
          <w:p>
            <w:pPr>
              <w:spacing w:after="0"/>
              <w:jc w:val="right"/>
            </w:pPr>
            <w:r>
              <w:rPr>
                <w:sz w:val="17"/>
                <w:szCs w:val="17"/>
              </w:rPr>
              <w:t xml:space="preserve">$19,700</w:t>
            </w:r>
          </w:p>
        </w:tc>
      </w:tr>
      <w:tr>
        <w:tc>
          <w:tcPr>
            <w:tcW w:type="dxa" w:w="4680"/>
            <w:shd w:fill="EEF3F4" w:color="auto" w:val="clear"/>
            <w:tcMar>
              <w:top w:type="dxa" w:w="50"/>
              <w:left w:type="dxa" w:w="80"/>
              <w:bottom w:type="dxa" w:w="50"/>
              <w:right w:type="dxa" w:w="80"/>
            </w:tcMar>
          </w:tcPr>
          <w:p>
            <w:pPr>
              <w:spacing w:after="0"/>
              <w:jc w:val="left"/>
            </w:pPr>
            <w:r>
              <w:rPr>
                <w:sz w:val="17"/>
                <w:szCs w:val="17"/>
              </w:rPr>
              <w:t xml:space="preserve">Signage, permits and contingency</w:t>
            </w:r>
          </w:p>
        </w:tc>
        <w:tc>
          <w:tcPr>
            <w:tcW w:type="dxa" w:w="4680"/>
            <w:shd w:fill="EEF3F4" w:color="auto" w:val="clear"/>
            <w:tcMar>
              <w:top w:type="dxa" w:w="50"/>
              <w:left w:type="dxa" w:w="80"/>
              <w:bottom w:type="dxa" w:w="50"/>
              <w:right w:type="dxa" w:w="80"/>
            </w:tcMar>
          </w:tcPr>
          <w:p>
            <w:pPr>
              <w:spacing w:after="0"/>
              <w:jc w:val="right"/>
            </w:pPr>
            <w:r>
              <w:rPr>
                <w:sz w:val="17"/>
                <w:szCs w:val="17"/>
              </w:rPr>
              <w:t xml:space="preserve">$9,000</w:t>
            </w:r>
          </w:p>
        </w:tc>
      </w:tr>
      <w:tr>
        <w:tc>
          <w:tcPr>
            <w:tcW w:type="dxa" w:w="4680"/>
            <w:tcMar>
              <w:top w:type="dxa" w:w="50"/>
              <w:left w:type="dxa" w:w="80"/>
              <w:bottom w:type="dxa" w:w="50"/>
              <w:right w:type="dxa" w:w="80"/>
            </w:tcMar>
          </w:tcPr>
          <w:p>
            <w:pPr>
              <w:spacing w:after="0"/>
              <w:jc w:val="left"/>
            </w:pPr>
            <w:r>
              <w:rPr>
                <w:sz w:val="17"/>
                <w:szCs w:val="17"/>
              </w:rPr>
              <w:t xml:space="preserve">Working capital</w:t>
            </w:r>
          </w:p>
        </w:tc>
        <w:tc>
          <w:tcPr>
            <w:tcW w:type="dxa" w:w="4680"/>
            <w:tcMar>
              <w:top w:type="dxa" w:w="50"/>
              <w:left w:type="dxa" w:w="80"/>
              <w:bottom w:type="dxa" w:w="50"/>
              <w:right w:type="dxa" w:w="80"/>
            </w:tcMar>
          </w:tcPr>
          <w:p>
            <w:pPr>
              <w:spacing w:after="0"/>
              <w:jc w:val="right"/>
            </w:pPr>
            <w:r>
              <w:rPr>
                <w:sz w:val="17"/>
                <w:szCs w:val="17"/>
              </w:rPr>
              <w:t xml:space="preserve">$24,000</w:t>
            </w:r>
          </w:p>
        </w:tc>
      </w:tr>
      <w:tr>
        <w:tc>
          <w:tcPr>
            <w:tcW w:type="dxa" w:w="4680"/>
            <w:shd w:fill="EEF3F4" w:color="auto" w:val="clear"/>
            <w:tcMar>
              <w:top w:type="dxa" w:w="50"/>
              <w:left w:type="dxa" w:w="80"/>
              <w:bottom w:type="dxa" w:w="50"/>
              <w:right w:type="dxa" w:w="80"/>
            </w:tcMar>
          </w:tcPr>
          <w:p>
            <w:pPr>
              <w:spacing w:after="0"/>
              <w:jc w:val="left"/>
            </w:pPr>
            <w:r>
              <w:rPr>
                <w:b/>
                <w:bCs/>
                <w:sz w:val="17"/>
                <w:szCs w:val="17"/>
              </w:rPr>
              <w:t xml:space="preserve">Total</w:t>
            </w:r>
          </w:p>
        </w:tc>
        <w:tc>
          <w:tcPr>
            <w:tcW w:type="dxa" w:w="4680"/>
            <w:shd w:fill="EEF3F4" w:color="auto" w:val="clear"/>
            <w:tcMar>
              <w:top w:type="dxa" w:w="50"/>
              <w:left w:type="dxa" w:w="80"/>
              <w:bottom w:type="dxa" w:w="50"/>
              <w:right w:type="dxa" w:w="80"/>
            </w:tcMar>
          </w:tcPr>
          <w:p>
            <w:pPr>
              <w:spacing w:after="0"/>
              <w:jc w:val="right"/>
            </w:pPr>
            <w:r>
              <w:rPr>
                <w:b/>
                <w:bCs/>
                <w:sz w:val="17"/>
                <w:szCs w:val="17"/>
              </w:rPr>
              <w:t xml:space="preserve">$118,000</w:t>
            </w:r>
          </w:p>
        </w:tc>
      </w:tr>
      <w:tr>
        <w:tc>
          <w:tcPr>
            <w:tcW w:type="dxa" w:w="4680"/>
            <w:tcMar>
              <w:top w:type="dxa" w:w="50"/>
              <w:left w:type="dxa" w:w="80"/>
              <w:bottom w:type="dxa" w:w="50"/>
              <w:right w:type="dxa" w:w="80"/>
            </w:tcMar>
          </w:tcPr>
          <w:p>
            <w:pPr>
              <w:spacing w:after="0"/>
              <w:jc w:val="left"/>
            </w:pPr>
            <w:r>
              <w:rPr>
                <w:sz w:val="17"/>
                <w:szCs w:val="17"/>
              </w:rPr>
              <w:t xml:space="preserve">Loan requested</w:t>
            </w:r>
          </w:p>
        </w:tc>
        <w:tc>
          <w:tcPr>
            <w:tcW w:type="dxa" w:w="4680"/>
            <w:tcMar>
              <w:top w:type="dxa" w:w="50"/>
              <w:left w:type="dxa" w:w="80"/>
              <w:bottom w:type="dxa" w:w="50"/>
              <w:right w:type="dxa" w:w="80"/>
            </w:tcMar>
          </w:tcPr>
          <w:p>
            <w:pPr>
              <w:spacing w:after="0"/>
              <w:jc w:val="right"/>
            </w:pPr>
            <w:r>
              <w:rPr>
                <w:sz w:val="17"/>
                <w:szCs w:val="17"/>
              </w:rPr>
              <w:t xml:space="preserve">$118,000</w:t>
            </w:r>
          </w:p>
        </w:tc>
      </w:tr>
    </w:tbl>
    <w:p>
      <w:pPr>
        <w:spacing w:after="140"/>
      </w:pPr>
      <w:r>
        <w:t xml:space="preserve"/>
      </w:r>
    </w:p>
    <w:p>
      <w:pPr>
        <w:spacing w:after="90"/>
      </w:pPr>
      <w:r>
        <w:t xml:space="preserve"/>
      </w:r>
    </w:p>
    <w:p>
      <w:pPr>
        <w:pStyle w:val="Heading2"/>
        <w:spacing w:after="110" w:before="240"/>
      </w:pPr>
      <w:r>
        <w:t xml:space="preserve">Debt Service Coverage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Debt service coverage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 1</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 2</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Year 3</w:t>
            </w:r>
          </w:p>
        </w:tc>
      </w:tr>
      <w:tr>
        <w:tc>
          <w:tcPr>
            <w:tcW w:type="dxa" w:w="2340"/>
            <w:tcMar>
              <w:top w:type="dxa" w:w="50"/>
              <w:left w:type="dxa" w:w="80"/>
              <w:bottom w:type="dxa" w:w="50"/>
              <w:right w:type="dxa" w:w="80"/>
            </w:tcMar>
          </w:tcPr>
          <w:p>
            <w:pPr>
              <w:spacing w:after="0"/>
              <w:jc w:val="left"/>
            </w:pPr>
            <w:r>
              <w:rPr>
                <w:sz w:val="17"/>
                <w:szCs w:val="17"/>
              </w:rPr>
              <w:t xml:space="preserve">DSCR</w:t>
            </w:r>
          </w:p>
        </w:tc>
        <w:tc>
          <w:tcPr>
            <w:tcW w:type="dxa" w:w="2340"/>
            <w:tcMar>
              <w:top w:type="dxa" w:w="50"/>
              <w:left w:type="dxa" w:w="80"/>
              <w:bottom w:type="dxa" w:w="50"/>
              <w:right w:type="dxa" w:w="80"/>
            </w:tcMar>
          </w:tcPr>
          <w:p>
            <w:pPr>
              <w:spacing w:after="0"/>
              <w:jc w:val="right"/>
            </w:pPr>
            <w:r>
              <w:rPr>
                <w:sz w:val="17"/>
                <w:szCs w:val="17"/>
              </w:rPr>
              <w:t xml:space="preserve">1.92</w:t>
            </w:r>
          </w:p>
        </w:tc>
        <w:tc>
          <w:tcPr>
            <w:tcW w:type="dxa" w:w="2340"/>
            <w:tcMar>
              <w:top w:type="dxa" w:w="50"/>
              <w:left w:type="dxa" w:w="80"/>
              <w:bottom w:type="dxa" w:w="50"/>
              <w:right w:type="dxa" w:w="80"/>
            </w:tcMar>
          </w:tcPr>
          <w:p>
            <w:pPr>
              <w:spacing w:after="0"/>
              <w:jc w:val="right"/>
            </w:pPr>
            <w:r>
              <w:rPr>
                <w:sz w:val="17"/>
                <w:szCs w:val="17"/>
              </w:rPr>
              <w:t xml:space="preserve">2.19</w:t>
            </w:r>
          </w:p>
        </w:tc>
        <w:tc>
          <w:tcPr>
            <w:tcW w:type="dxa" w:w="2340"/>
            <w:tcMar>
              <w:top w:type="dxa" w:w="50"/>
              <w:left w:type="dxa" w:w="80"/>
              <w:bottom w:type="dxa" w:w="50"/>
              <w:right w:type="dxa" w:w="80"/>
            </w:tcMar>
          </w:tcPr>
          <w:p>
            <w:pPr>
              <w:spacing w:after="0"/>
              <w:jc w:val="right"/>
            </w:pPr>
            <w:r>
              <w:rPr>
                <w:sz w:val="17"/>
                <w:szCs w:val="17"/>
              </w:rPr>
              <w:t xml:space="preserve">2.37</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Lender floor</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1.25</w:t>
            </w:r>
          </w:p>
        </w:tc>
      </w:tr>
    </w:tbl>
    <w:p>
      <w:pPr>
        <w:spacing w:after="140"/>
      </w:pPr>
      <w:r>
        <w:t xml:space="preserve"/>
      </w:r>
    </w:p>
    <w:p>
      <w:pPr>
        <w:spacing w:after="90"/>
      </w:pPr>
      <w:r>
        <w:t xml:space="preserve"/>
      </w:r>
    </w:p>
    <w:p>
      <w:pPr>
        <w:pStyle w:val="Heading1"/>
        <w:spacing w:after="140" w:before="320"/>
      </w:pPr>
      <w:r>
        <w:t xml:space="preserve">Risk Analysis and Mitigation</w:t>
      </w:r>
    </w:p>
    <w:p>
      <w:pPr>
        <w:spacing w:after="130"/>
      </w:pPr>
      <w:r>
        <w:t xml:space="preserve">The projections assume the business reaches 3,000 monthly transactions within the first seven months and stabilizes near 6,200 thereafter. This ramp depends on converting foot traffic observed during an eleven-week pop-up into sustained daily volume, with 60 to 70 percent of revenue concentrated before 11 a.m. A slower ramp would extend the cash-trough period beyond month five and reduce the year-one debt-service coverage ratio below the projected 1.92. The plan mitigates this through documented operator experience managing two-site P&amp;L and through the addition of a third morning barista once volume justifies it.</w:t>
      </w:r>
    </w:p>
    <w:p>
      <w:pPr>
        <w:spacing w:after="90"/>
      </w:pPr>
      <w:r>
        <w:t xml:space="preserve"/>
      </w:r>
    </w:p>
    <w:p>
      <w:pPr>
        <w:spacing w:after="130"/>
      </w:pPr>
      <w:r>
        <w:t xml:space="preserve">Milk and green-bean costs are not fixed. Any sustained increase would compress the 5.75 contribution margin per transaction and raise the 4,487-unit monthly break-even threshold. The operator intends to monitor these inputs monthly through the contracted CPA and to adjust menu attachments rather than list prices.</w:t>
      </w:r>
    </w:p>
    <w:p>
      <w:pPr>
        <w:spacing w:after="90"/>
      </w:pPr>
      <w:r>
        <w:t xml:space="preserve"/>
      </w:r>
    </w:p>
    <w:p>
      <w:pPr>
        <w:spacing w:after="130"/>
      </w:pPr>
      <w:r>
        <w:t xml:space="preserve">The five-year lease carries a personal guarantee, and the loan request is also personally guaranteed. Combined owner exposure is therefore material if revenue falls short of the 79 percent capacity utilization target. Collateral is limited to specified equipment and one personal vehicle.</w:t>
      </w:r>
    </w:p>
    <w:p>
      <w:pPr>
        <w:spacing w:after="90"/>
      </w:pPr>
      <w:r>
        <w:t xml:space="preserve"/>
      </w:r>
    </w:p>
    <w:p>
      <w:pPr>
        <w:spacing w:after="130"/>
      </w:pPr>
      <w:r>
        <w:t xml:space="preserve">Bookkeeping at this scale is a stated gap. The engagement of an external CPA for monthly closes from month one addresses the risk of delayed financial reporting to the lender.</w:t>
      </w:r>
    </w:p>
    <w:p>
      <w:pPr>
        <w:spacing w:after="90"/>
      </w:pPr>
      <w:r>
        <w:t xml:space="preserve"/>
      </w:r>
    </w:p>
    <w:p>
      <w:pPr>
        <w:spacing w:after="130"/>
      </w:pPr>
      <w:r>
        <w:t xml:space="preserve">Seasonality is acknowledged in the model, with the lowest month at 82 percent of average. The winter peak and the addition of a second grinder in month 14 are the primary offsets. No other external market data or sensitivity tables are provided.</w:t>
      </w:r>
    </w:p>
    <w:p>
      <w:pPr>
        <w:spacing w:after="90"/>
      </w:pPr>
      <w:r>
        <w:t xml:space="preserve"/>
      </w:r>
    </w:p>
    <w:p>
      <w:pPr>
        <w:pStyle w:val="Heading1"/>
        <w:spacing w:after="140" w:before="320"/>
      </w:pPr>
      <w:r>
        <w:t xml:space="preserve">Assumptions Register</w:t>
      </w:r>
    </w:p>
    <w:p>
      <w:pPr>
        <w:spacing w:after="130"/>
      </w:pPr>
      <w:r>
        <w:t xml:space="preserve">Every figure below is either something you told us, something your documents confirmed, or a benchmark default with its source named. The last column is what happens if the assumption turns out 20% worse.</w:t>
      </w:r>
    </w:p>
    <w:p>
      <w:pPr>
        <w:spacing w:after="9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shd w:fill="0F4C5C" w:color="auto" w:val="clear"/>
            <w:tcMar>
              <w:top w:type="dxa" w:w="50"/>
              <w:left w:type="dxa" w:w="80"/>
              <w:bottom w:type="dxa" w:w="50"/>
              <w:right w:type="dxa" w:w="80"/>
            </w:tcMar>
          </w:tcPr>
          <w:p>
            <w:pPr>
              <w:spacing w:after="0"/>
              <w:jc w:val="left"/>
            </w:pPr>
            <w:r>
              <w:rPr>
                <w:b/>
                <w:bCs/>
                <w:color w:val="FFFFFF"/>
                <w:sz w:val="17"/>
                <w:szCs w:val="17"/>
              </w:rPr>
              <w:t xml:space="preserve">Assumption</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Value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Source</w:t>
            </w:r>
          </w:p>
        </w:tc>
        <w:tc>
          <w:tcPr>
            <w:tcW w:type="dxa" w:w="2340"/>
            <w:shd w:fill="0F4C5C" w:color="auto" w:val="clear"/>
            <w:tcMar>
              <w:top w:type="dxa" w:w="50"/>
              <w:left w:type="dxa" w:w="80"/>
              <w:bottom w:type="dxa" w:w="50"/>
              <w:right w:type="dxa" w:w="80"/>
            </w:tcMar>
          </w:tcPr>
          <w:p>
            <w:pPr>
              <w:spacing w:after="0"/>
              <w:jc w:val="right"/>
            </w:pPr>
            <w:r>
              <w:rPr>
                <w:b/>
                <w:bCs/>
                <w:color w:val="FFFFFF"/>
                <w:sz w:val="17"/>
                <w:szCs w:val="17"/>
              </w:rPr>
              <w:t xml:space="preserve">If it is 20% worse</w:t>
            </w:r>
          </w:p>
        </w:tc>
      </w:tr>
      <w:tr>
        <w:tc>
          <w:tcPr>
            <w:tcW w:type="dxa" w:w="2340"/>
            <w:tcMar>
              <w:top w:type="dxa" w:w="50"/>
              <w:left w:type="dxa" w:w="80"/>
              <w:bottom w:type="dxa" w:w="50"/>
              <w:right w:type="dxa" w:w="80"/>
            </w:tcMar>
          </w:tcPr>
          <w:p>
            <w:pPr>
              <w:spacing w:after="0"/>
              <w:jc w:val="left"/>
            </w:pPr>
            <w:r>
              <w:rPr>
                <w:sz w:val="17"/>
                <w:szCs w:val="17"/>
              </w:rPr>
              <w:t xml:space="preserve">What will you charge for one unit?</w:t>
            </w:r>
          </w:p>
        </w:tc>
        <w:tc>
          <w:tcPr>
            <w:tcW w:type="dxa" w:w="2340"/>
            <w:tcMar>
              <w:top w:type="dxa" w:w="50"/>
              <w:left w:type="dxa" w:w="80"/>
              <w:bottom w:type="dxa" w:w="50"/>
              <w:right w:type="dxa" w:w="80"/>
            </w:tcMar>
          </w:tcPr>
          <w:p>
            <w:pPr>
              <w:spacing w:after="0"/>
              <w:jc w:val="right"/>
            </w:pPr>
            <w:r>
              <w:rPr>
                <w:sz w:val="17"/>
                <w:szCs w:val="17"/>
              </w:rPr>
              <w:t xml:space="preserve">7.8</w:t>
            </w:r>
          </w:p>
        </w:tc>
        <w:tc>
          <w:tcPr>
            <w:tcW w:type="dxa" w:w="2340"/>
            <w:tcMar>
              <w:top w:type="dxa" w:w="50"/>
              <w:left w:type="dxa" w:w="80"/>
              <w:bottom w:type="dxa" w:w="50"/>
              <w:right w:type="dxa" w:w="80"/>
            </w:tcMar>
          </w:tcPr>
          <w:p>
            <w:pPr>
              <w:spacing w:after="0"/>
              <w:jc w:val="right"/>
            </w:pPr>
            <w:r>
              <w:rPr>
                <w:sz w:val="17"/>
                <w:szCs w:val="17"/>
              </w:rPr>
              <w:t xml:space="preserve">Provided by the operator</w:t>
            </w:r>
          </w:p>
        </w:tc>
        <w:tc>
          <w:tcPr>
            <w:tcW w:type="dxa" w:w="2340"/>
            <w:tcMar>
              <w:top w:type="dxa" w:w="50"/>
              <w:left w:type="dxa" w:w="80"/>
              <w:bottom w:type="dxa" w:w="50"/>
              <w:right w:type="dxa" w:w="80"/>
            </w:tcMar>
          </w:tcPr>
          <w:p>
            <w:pPr>
              <w:spacing w:after="0"/>
              <w:jc w:val="right"/>
            </w:pPr>
            <w:r>
              <w:rPr>
                <w:sz w:val="17"/>
                <w:szCs w:val="17"/>
              </w:rPr>
              <w:t xml:space="preserve">DSCR 1.92 → -2.59; cash low point $-4,718</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What does it cost you in materials and direct labour to deliver ONE unit?</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2.05</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Provided by the operator</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DSCR 1.92 → 0.74; cash low point $37,848</w:t>
            </w:r>
          </w:p>
        </w:tc>
      </w:tr>
      <w:tr>
        <w:tc>
          <w:tcPr>
            <w:tcW w:type="dxa" w:w="2340"/>
            <w:tcMar>
              <w:top w:type="dxa" w:w="50"/>
              <w:left w:type="dxa" w:w="80"/>
              <w:bottom w:type="dxa" w:w="50"/>
              <w:right w:type="dxa" w:w="80"/>
            </w:tcMar>
          </w:tcPr>
          <w:p>
            <w:pPr>
              <w:spacing w:after="0"/>
              <w:jc w:val="left"/>
            </w:pPr>
            <w:r>
              <w:rPr>
                <w:sz w:val="17"/>
                <w:szCs w:val="17"/>
              </w:rPr>
              <w:t xml:space="preserve">And once you are established — units per month?</w:t>
            </w:r>
          </w:p>
        </w:tc>
        <w:tc>
          <w:tcPr>
            <w:tcW w:type="dxa" w:w="2340"/>
            <w:tcMar>
              <w:top w:type="dxa" w:w="50"/>
              <w:left w:type="dxa" w:w="80"/>
              <w:bottom w:type="dxa" w:w="50"/>
              <w:right w:type="dxa" w:w="80"/>
            </w:tcMar>
          </w:tcPr>
          <w:p>
            <w:pPr>
              <w:spacing w:after="0"/>
              <w:jc w:val="right"/>
            </w:pPr>
            <w:r>
              <w:rPr>
                <w:sz w:val="17"/>
                <w:szCs w:val="17"/>
              </w:rPr>
              <w:t xml:space="preserve">6200</w:t>
            </w:r>
          </w:p>
        </w:tc>
        <w:tc>
          <w:tcPr>
            <w:tcW w:type="dxa" w:w="2340"/>
            <w:tcMar>
              <w:top w:type="dxa" w:w="50"/>
              <w:left w:type="dxa" w:w="80"/>
              <w:bottom w:type="dxa" w:w="50"/>
              <w:right w:type="dxa" w:w="80"/>
            </w:tcMar>
          </w:tcPr>
          <w:p>
            <w:pPr>
              <w:spacing w:after="0"/>
              <w:jc w:val="right"/>
            </w:pPr>
            <w:r>
              <w:rPr>
                <w:sz w:val="17"/>
                <w:szCs w:val="17"/>
              </w:rPr>
              <w:t xml:space="preserve">Provided by the operator</w:t>
            </w:r>
          </w:p>
        </w:tc>
        <w:tc>
          <w:tcPr>
            <w:tcW w:type="dxa" w:w="2340"/>
            <w:tcMar>
              <w:top w:type="dxa" w:w="50"/>
              <w:left w:type="dxa" w:w="80"/>
              <w:bottom w:type="dxa" w:w="50"/>
              <w:right w:type="dxa" w:w="80"/>
            </w:tcMar>
          </w:tcPr>
          <w:p>
            <w:pPr>
              <w:spacing w:after="0"/>
              <w:jc w:val="right"/>
            </w:pPr>
            <w:r>
              <w:rPr>
                <w:sz w:val="17"/>
                <w:szCs w:val="17"/>
              </w:rPr>
              <w:t xml:space="preserve">DSCR 1.92 → -0.82; cash low point $26,214</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Monthly payroll (excluding you)?</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13387</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Provided by the operator</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DSCR 1.92 → 0.29; cash low point $31,507</w:t>
            </w:r>
          </w:p>
        </w:tc>
      </w:tr>
      <w:tr>
        <w:tc>
          <w:tcPr>
            <w:tcW w:type="dxa" w:w="2340"/>
            <w:tcMar>
              <w:top w:type="dxa" w:w="50"/>
              <w:left w:type="dxa" w:w="80"/>
              <w:bottom w:type="dxa" w:w="50"/>
              <w:right w:type="dxa" w:w="80"/>
            </w:tcMar>
          </w:tcPr>
          <w:p>
            <w:pPr>
              <w:spacing w:after="0"/>
              <w:jc w:val="left"/>
            </w:pPr>
            <w:r>
              <w:rPr>
                <w:sz w:val="17"/>
                <w:szCs w:val="17"/>
              </w:rPr>
              <w:t xml:space="preserve">What is the monthly rent?</w:t>
            </w:r>
          </w:p>
        </w:tc>
        <w:tc>
          <w:tcPr>
            <w:tcW w:type="dxa" w:w="2340"/>
            <w:tcMar>
              <w:top w:type="dxa" w:w="50"/>
              <w:left w:type="dxa" w:w="80"/>
              <w:bottom w:type="dxa" w:w="50"/>
              <w:right w:type="dxa" w:w="80"/>
            </w:tcMar>
          </w:tcPr>
          <w:p>
            <w:pPr>
              <w:spacing w:after="0"/>
              <w:jc w:val="right"/>
            </w:pPr>
            <w:r>
              <w:rPr>
                <w:sz w:val="17"/>
                <w:szCs w:val="17"/>
              </w:rPr>
              <w:t xml:space="preserve">4100</w:t>
            </w:r>
          </w:p>
        </w:tc>
        <w:tc>
          <w:tcPr>
            <w:tcW w:type="dxa" w:w="2340"/>
            <w:tcMar>
              <w:top w:type="dxa" w:w="50"/>
              <w:left w:type="dxa" w:w="80"/>
              <w:bottom w:type="dxa" w:w="50"/>
              <w:right w:type="dxa" w:w="80"/>
            </w:tcMar>
          </w:tcPr>
          <w:p>
            <w:pPr>
              <w:spacing w:after="0"/>
              <w:jc w:val="right"/>
            </w:pPr>
            <w:r>
              <w:rPr>
                <w:sz w:val="17"/>
                <w:szCs w:val="17"/>
              </w:rPr>
              <w:t xml:space="preserve">Confirmed from your lease</w:t>
            </w:r>
          </w:p>
        </w:tc>
        <w:tc>
          <w:tcPr>
            <w:tcW w:type="dxa" w:w="2340"/>
            <w:tcMar>
              <w:top w:type="dxa" w:w="50"/>
              <w:left w:type="dxa" w:w="80"/>
              <w:bottom w:type="dxa" w:w="50"/>
              <w:right w:type="dxa" w:w="80"/>
            </w:tcMar>
          </w:tcPr>
          <w:p>
            <w:pPr>
              <w:spacing w:after="0"/>
              <w:jc w:val="right"/>
            </w:pPr>
            <w:r>
              <w:rPr>
                <w:sz w:val="17"/>
                <w:szCs w:val="17"/>
              </w:rPr>
              <w:t xml:space="preserve">DSCR 1.92 → 1.43; cash low point $42,160</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Cost of goods as % of revenue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26.3%</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Industry band 25–35% — National Restaurant Association, industry operations reporting, 2025, indicative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Inside the band</w:t>
            </w:r>
          </w:p>
        </w:tc>
      </w:tr>
      <w:tr>
        <w:tc>
          <w:tcPr>
            <w:tcW w:type="dxa" w:w="2340"/>
            <w:tcMar>
              <w:top w:type="dxa" w:w="50"/>
              <w:left w:type="dxa" w:w="80"/>
              <w:bottom w:type="dxa" w:w="50"/>
              <w:right w:type="dxa" w:w="80"/>
            </w:tcMar>
          </w:tcPr>
          <w:p>
            <w:pPr>
              <w:spacing w:after="0"/>
              <w:jc w:val="left"/>
            </w:pPr>
            <w:r>
              <w:rPr>
                <w:sz w:val="17"/>
                <w:szCs w:val="17"/>
              </w:rPr>
              <w:t xml:space="preserve">Rent as % of revenue</w:t>
            </w:r>
          </w:p>
        </w:tc>
        <w:tc>
          <w:tcPr>
            <w:tcW w:type="dxa" w:w="2340"/>
            <w:tcMar>
              <w:top w:type="dxa" w:w="50"/>
              <w:left w:type="dxa" w:w="80"/>
              <w:bottom w:type="dxa" w:w="50"/>
              <w:right w:type="dxa" w:w="80"/>
            </w:tcMar>
          </w:tcPr>
          <w:p>
            <w:pPr>
              <w:spacing w:after="0"/>
              <w:jc w:val="right"/>
            </w:pPr>
            <w:r>
              <w:rPr>
                <w:sz w:val="17"/>
                <w:szCs w:val="17"/>
              </w:rPr>
              <w:t xml:space="preserve">8.5%</w:t>
            </w:r>
          </w:p>
        </w:tc>
        <w:tc>
          <w:tcPr>
            <w:tcW w:type="dxa" w:w="2340"/>
            <w:tcMar>
              <w:top w:type="dxa" w:w="50"/>
              <w:left w:type="dxa" w:w="80"/>
              <w:bottom w:type="dxa" w:w="50"/>
              <w:right w:type="dxa" w:w="80"/>
            </w:tcMar>
          </w:tcPr>
          <w:p>
            <w:pPr>
              <w:spacing w:after="0"/>
              <w:jc w:val="right"/>
            </w:pPr>
            <w:r>
              <w:rPr>
                <w:sz w:val="17"/>
                <w:szCs w:val="17"/>
              </w:rPr>
              <w:t xml:space="preserve">Industry band 8–14% — National Restaurant Association, industry operations reporting, 2025, indicative</w:t>
            </w:r>
          </w:p>
        </w:tc>
        <w:tc>
          <w:tcPr>
            <w:tcW w:type="dxa" w:w="2340"/>
            <w:tcMar>
              <w:top w:type="dxa" w:w="50"/>
              <w:left w:type="dxa" w:w="80"/>
              <w:bottom w:type="dxa" w:w="50"/>
              <w:right w:type="dxa" w:w="80"/>
            </w:tcMar>
          </w:tcPr>
          <w:p>
            <w:pPr>
              <w:spacing w:after="0"/>
              <w:jc w:val="right"/>
            </w:pPr>
            <w:r>
              <w:rPr>
                <w:sz w:val="17"/>
                <w:szCs w:val="17"/>
              </w:rPr>
              <w:t xml:space="preserve">Inside the band</w:t>
            </w:r>
          </w:p>
        </w:tc>
      </w:tr>
      <w:tr>
        <w:tc>
          <w:tcPr>
            <w:tcW w:type="dxa" w:w="2340"/>
            <w:shd w:fill="EEF3F4" w:color="auto" w:val="clear"/>
            <w:tcMar>
              <w:top w:type="dxa" w:w="50"/>
              <w:left w:type="dxa" w:w="80"/>
              <w:bottom w:type="dxa" w:w="50"/>
              <w:right w:type="dxa" w:w="80"/>
            </w:tcMar>
          </w:tcPr>
          <w:p>
            <w:pPr>
              <w:spacing w:after="0"/>
              <w:jc w:val="left"/>
            </w:pPr>
            <w:r>
              <w:rPr>
                <w:sz w:val="17"/>
                <w:szCs w:val="17"/>
              </w:rPr>
              <w:t xml:space="preserve">Payroll as % of revenue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27.7%</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Industry band 28–38% — US Bureau of Labor Statistics, Current Employment Statistics, 2025, indicative</w:t>
            </w:r>
          </w:p>
        </w:tc>
        <w:tc>
          <w:tcPr>
            <w:tcW w:type="dxa" w:w="2340"/>
            <w:shd w:fill="EEF3F4" w:color="auto" w:val="clear"/>
            <w:tcMar>
              <w:top w:type="dxa" w:w="50"/>
              <w:left w:type="dxa" w:w="80"/>
              <w:bottom w:type="dxa" w:w="50"/>
              <w:right w:type="dxa" w:w="80"/>
            </w:tcMar>
          </w:tcPr>
          <w:p>
            <w:pPr>
              <w:spacing w:after="0"/>
              <w:jc w:val="right"/>
            </w:pPr>
            <w:r>
              <w:rPr>
                <w:sz w:val="17"/>
                <w:szCs w:val="17"/>
              </w:rPr>
              <w:t xml:space="preserve">Outside the band; expect to be asked about it</w:t>
            </w:r>
          </w:p>
        </w:tc>
      </w:tr>
    </w:tbl>
    <w:p>
      <w:pPr>
        <w:spacing w:after="140"/>
      </w:pPr>
      <w:r>
        <w:t xml:space="preserve"/>
      </w:r>
    </w:p>
    <w:p>
      <w:pPr>
        <w:spacing w:after="90"/>
      </w:pPr>
      <w:r>
        <w:t xml:space="preserve"/>
      </w:r>
    </w:p>
    <w:p>
      <w:pPr>
        <w:pStyle w:val="Heading1"/>
        <w:spacing w:after="140" w:before="320"/>
      </w:pPr>
      <w:r>
        <w:t xml:space="preserve">What To Bring To The Meeting</w:t>
      </w:r>
    </w:p>
    <w:p>
      <w:pPr>
        <w:spacing w:after="130"/>
      </w:pPr>
      <w:r>
        <w:rPr>
          <w:b/>
          <w:bCs/>
        </w:rPr>
        <w:t xml:space="preserve">Already provided</w:t>
      </w:r>
    </w:p>
    <w:p>
      <w:pPr>
        <w:pStyle w:val="ListParagraph"/>
        <w:numPr>
          <w:ilvl w:val="0"/>
          <w:numId w:val="2"/>
        </w:numPr>
        <w:spacing w:after="70"/>
      </w:pPr>
      <w:r>
        <w:t xml:space="preserve">lease</w:t>
      </w:r>
    </w:p>
    <w:p>
      <w:pPr>
        <w:pStyle w:val="ListParagraph"/>
        <w:numPr>
          <w:ilvl w:val="0"/>
          <w:numId w:val="2"/>
        </w:numPr>
        <w:spacing w:after="70"/>
      </w:pPr>
      <w:r>
        <w:t xml:space="preserve">bank statement</w:t>
      </w:r>
    </w:p>
    <w:p>
      <w:pPr>
        <w:pStyle w:val="ListParagraph"/>
        <w:numPr>
          <w:ilvl w:val="0"/>
          <w:numId w:val="2"/>
        </w:numPr>
        <w:spacing w:after="70"/>
      </w:pPr>
      <w:r>
        <w:t xml:space="preserve">supplier quote</w:t>
      </w:r>
    </w:p>
    <w:p>
      <w:pPr>
        <w:pStyle w:val="ListParagraph"/>
        <w:numPr>
          <w:ilvl w:val="0"/>
          <w:numId w:val="2"/>
        </w:numPr>
        <w:spacing w:after="70"/>
      </w:pPr>
      <w:r>
        <w:t xml:space="preserve">licence copy</w:t>
      </w:r>
    </w:p>
    <w:p>
      <w:pPr>
        <w:spacing w:after="90"/>
      </w:pPr>
      <w:r>
        <w:t xml:space="preserve"/>
      </w:r>
    </w:p>
    <w:p>
      <w:pPr>
        <w:spacing w:after="130"/>
      </w:pPr>
      <w:r>
        <w:rPr>
          <w:b/>
          <w:bCs/>
        </w:rPr>
        <w:t xml:space="preserve">Still outstanding — take these to the meeting</w:t>
      </w:r>
    </w:p>
    <w:p>
      <w:pPr>
        <w:pStyle w:val="ListParagraph"/>
        <w:numPr>
          <w:ilvl w:val="0"/>
          <w:numId w:val="2"/>
        </w:numPr>
        <w:spacing w:after="70"/>
      </w:pPr>
      <w:r>
        <w:t xml:space="preserve">Trailing 12-month financials</w:t>
      </w:r>
    </w:p>
    <w:p>
      <w:pPr>
        <w:pStyle w:val="ListParagraph"/>
        <w:numPr>
          <w:ilvl w:val="0"/>
          <w:numId w:val="2"/>
        </w:numPr>
        <w:spacing w:after="70"/>
      </w:pPr>
      <w:r>
        <w:t xml:space="preserve">Personal financial statement</w:t>
      </w:r>
    </w:p>
    <w:p>
      <w:pPr>
        <w:pStyle w:val="ListParagraph"/>
        <w:numPr>
          <w:ilvl w:val="0"/>
          <w:numId w:val="2"/>
        </w:numPr>
        <w:spacing w:after="70"/>
      </w:pPr>
      <w:r>
        <w:t xml:space="preserve">Résumé</w:t>
      </w:r>
    </w:p>
    <w:p>
      <w:pPr>
        <w:spacing w:after="90"/>
      </w:pPr>
      <w:r>
        <w:t xml:space="preserve"/>
      </w:r>
    </w:p>
    <w:p>
      <w:pPr>
        <w:spacing w:after="130"/>
      </w:pPr>
      <w:r>
        <w:rPr>
          <w:i/>
          <w:iCs/>
          <w:color w:val="5A5A5A"/>
        </w:rPr>
        <w:t xml:space="preserve">Consistency between the documents you provide and your plan is checked; authenticity is not.</w:t>
      </w:r>
    </w:p>
    <w:p>
      <w:pPr>
        <w:spacing w:after="90"/>
      </w:pPr>
      <w:r>
        <w:t xml:space="preserve"/>
      </w:r>
    </w:p>
    <w:sectPr>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pPr>
        <w:spacing w:line="288"/>
      </w:pPr>
    </w:pPrDefault>
  </w:docDefaults>
  <w:style w:type="paragraph" w:styleId="Title">
    <w:name w:val="Title"/>
    <w:basedOn w:val="Normal"/>
    <w:next w:val="Normal"/>
    <w:qFormat/>
    <w:rPr>
      <w:rFonts w:ascii="Calibri" w:cs="Calibri" w:eastAsia="Calibri" w:hAnsi="Calibri"/>
      <w:b/>
      <w:bCs/>
      <w:color w:val="0F4C5C"/>
      <w:sz w:val="44"/>
      <w:szCs w:val="44"/>
    </w:rPr>
  </w:style>
  <w:style w:type="paragraph" w:styleId="Heading1">
    <w:name w:val="Heading 1"/>
    <w:basedOn w:val="Normal"/>
    <w:next w:val="Normal"/>
    <w:qFormat/>
    <w:rPr>
      <w:rFonts w:ascii="Calibri" w:cs="Calibri" w:eastAsia="Calibri" w:hAnsi="Calibri"/>
      <w:b/>
      <w:bCs/>
      <w:color w:val="0F4C5C"/>
      <w:sz w:val="30"/>
      <w:szCs w:val="30"/>
    </w:rPr>
  </w:style>
  <w:style w:type="paragraph" w:styleId="Heading2">
    <w:name w:val="Heading 2"/>
    <w:basedOn w:val="Normal"/>
    <w:next w:val="Normal"/>
    <w:qFormat/>
    <w:rPr>
      <w:rFonts w:ascii="Calibri" w:cs="Calibri" w:eastAsia="Calibri" w:hAnsi="Calibri"/>
      <w:b/>
      <w:bCs/>
      <w:color w:val="2E2E2E"/>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Harbor Lane Coffee — Business Plan</dc:title>
  <dc:creator>Percision</dc:creator>
  <cp:lastModifiedBy>Un-named</cp:lastModifiedBy>
  <cp:revision>1</cp:revision>
  <dcterms:created xsi:type="dcterms:W3CDTF">2026-08-18T13:18:08.256Z</dcterms:created>
  <dcterms:modified xsi:type="dcterms:W3CDTF">2026-08-18T13:18:08.258Z</dcterms:modified>
</cp:coreProperties>
</file>

<file path=docProps/custom.xml><?xml version="1.0" encoding="utf-8"?>
<Properties xmlns="http://schemas.openxmlformats.org/officeDocument/2006/custom-properties" xmlns:vt="http://schemas.openxmlformats.org/officeDocument/2006/docPropsVTypes"/>
</file>