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160"/>
      </w:pPr>
      <w:r>
        <w:t xml:space="preserve">Ridgeline Freight — Business Plan</w:t>
      </w:r>
    </w:p>
    <w:p>
      <w:pPr>
        <w:spacing w:after="130"/>
      </w:pPr>
      <w:r>
        <w:rPr>
          <w:i/>
          <w:iCs/>
          <w:color w:val="5A5A5A"/>
        </w:rPr>
        <w:t xml:space="preserve">Prepared for: Bank underwriter under SBA SOP. Format: SBA 7(a) / microloan.</w:t>
      </w:r>
    </w:p>
    <w:p>
      <w:pPr>
        <w:spacing w:after="90"/>
      </w:pPr>
      <w:r>
        <w:t xml:space="preserve"/>
      </w:r>
    </w:p>
    <w:p>
      <w:pPr>
        <w:pStyle w:val="Heading1"/>
        <w:spacing w:after="140" w:before="320"/>
      </w:pPr>
      <w:r>
        <w:t xml:space="preserve">Headline Numbers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tblHeader/>
        </w:trPr>
        <w:tc>
          <w:tcPr>
            <w:tcW w:type="dxa" w:w="4680"/>
            <w:shd w:fill="0F4C5C" w:color="auto" w:val="clear"/>
            <w:tcMar>
              <w:top w:type="dxa" w:w="50"/>
              <w:left w:type="dxa" w:w="80"/>
              <w:bottom w:type="dxa" w:w="50"/>
              <w:right w:type="dxa" w:w="80"/>
            </w:tcMar>
          </w:tcPr>
          <w:p>
            <w:pPr>
              <w:spacing w:after="0"/>
              <w:jc w:val="left"/>
            </w:pPr>
            <w:r>
              <w:rPr>
                <w:b/>
                <w:bCs/>
                <w:color w:val="FFFFFF"/>
                <w:sz w:val="17"/>
                <w:szCs w:val="17"/>
              </w:rPr>
              <w:t xml:space="preserve">Metric</w:t>
            </w:r>
          </w:p>
        </w:tc>
        <w:tc>
          <w:tcPr>
            <w:tcW w:type="dxa" w:w="4680"/>
            <w:shd w:fill="0F4C5C" w:color="auto" w:val="clear"/>
            <w:tcMar>
              <w:top w:type="dxa" w:w="50"/>
              <w:left w:type="dxa" w:w="80"/>
              <w:bottom w:type="dxa" w:w="50"/>
              <w:right w:type="dxa" w:w="80"/>
            </w:tcMar>
          </w:tcPr>
          <w:p>
            <w:pPr>
              <w:spacing w:after="0"/>
              <w:jc w:val="right"/>
            </w:pPr>
            <w:r>
              <w:rPr>
                <w:b/>
                <w:bCs/>
                <w:color w:val="FFFFFF"/>
                <w:sz w:val="17"/>
                <w:szCs w:val="17"/>
              </w:rPr>
              <w:t xml:space="preserve">Value</w:t>
            </w:r>
          </w:p>
        </w:tc>
      </w:tr>
      <w:tr>
        <w:tc>
          <w:tcPr>
            <w:tcW w:type="dxa" w:w="4680"/>
            <w:tcMar>
              <w:top w:type="dxa" w:w="50"/>
              <w:left w:type="dxa" w:w="80"/>
              <w:bottom w:type="dxa" w:w="50"/>
              <w:right w:type="dxa" w:w="80"/>
            </w:tcMar>
          </w:tcPr>
          <w:p>
            <w:pPr>
              <w:spacing w:after="0"/>
              <w:jc w:val="left"/>
            </w:pPr>
            <w:r>
              <w:rPr>
                <w:sz w:val="17"/>
                <w:szCs w:val="17"/>
              </w:rPr>
              <w:t xml:space="preserve">Total startup requirement</w:t>
            </w:r>
          </w:p>
        </w:tc>
        <w:tc>
          <w:tcPr>
            <w:tcW w:type="dxa" w:w="4680"/>
            <w:tcMar>
              <w:top w:type="dxa" w:w="50"/>
              <w:left w:type="dxa" w:w="80"/>
              <w:bottom w:type="dxa" w:w="50"/>
              <w:right w:type="dxa" w:w="80"/>
            </w:tcMar>
          </w:tcPr>
          <w:p>
            <w:pPr>
              <w:spacing w:after="0"/>
              <w:jc w:val="right"/>
            </w:pPr>
            <w:r>
              <w:rPr>
                <w:sz w:val="17"/>
                <w:szCs w:val="17"/>
              </w:rPr>
              <w:t xml:space="preserve">$320,800</w:t>
            </w:r>
          </w:p>
        </w:tc>
      </w:tr>
      <w:tr>
        <w:tc>
          <w:tcPr>
            <w:tcW w:type="dxa" w:w="4680"/>
            <w:shd w:fill="EEF3F4" w:color="auto" w:val="clear"/>
            <w:tcMar>
              <w:top w:type="dxa" w:w="50"/>
              <w:left w:type="dxa" w:w="80"/>
              <w:bottom w:type="dxa" w:w="50"/>
              <w:right w:type="dxa" w:w="80"/>
            </w:tcMar>
          </w:tcPr>
          <w:p>
            <w:pPr>
              <w:spacing w:after="0"/>
              <w:jc w:val="left"/>
            </w:pPr>
            <w:r>
              <w:rPr>
                <w:sz w:val="17"/>
                <w:szCs w:val="17"/>
              </w:rPr>
              <w:t xml:space="preserve">Owner injection</w:t>
            </w:r>
          </w:p>
        </w:tc>
        <w:tc>
          <w:tcPr>
            <w:tcW w:type="dxa" w:w="4680"/>
            <w:shd w:fill="EEF3F4" w:color="auto" w:val="clear"/>
            <w:tcMar>
              <w:top w:type="dxa" w:w="50"/>
              <w:left w:type="dxa" w:w="80"/>
              <w:bottom w:type="dxa" w:w="50"/>
              <w:right w:type="dxa" w:w="80"/>
            </w:tcMar>
          </w:tcPr>
          <w:p>
            <w:pPr>
              <w:spacing w:after="0"/>
              <w:jc w:val="right"/>
            </w:pPr>
            <w:r>
              <w:rPr>
                <w:sz w:val="17"/>
                <w:szCs w:val="17"/>
              </w:rPr>
              <w:t xml:space="preserve">$73,000 (22.8% of project cost)</w:t>
            </w:r>
          </w:p>
        </w:tc>
      </w:tr>
      <w:tr>
        <w:tc>
          <w:tcPr>
            <w:tcW w:type="dxa" w:w="4680"/>
            <w:tcMar>
              <w:top w:type="dxa" w:w="50"/>
              <w:left w:type="dxa" w:w="80"/>
              <w:bottom w:type="dxa" w:w="50"/>
              <w:right w:type="dxa" w:w="80"/>
            </w:tcMar>
          </w:tcPr>
          <w:p>
            <w:pPr>
              <w:spacing w:after="0"/>
              <w:jc w:val="left"/>
            </w:pPr>
            <w:r>
              <w:rPr>
                <w:sz w:val="17"/>
                <w:szCs w:val="17"/>
              </w:rPr>
              <w:t xml:space="preserve">Loan requested</w:t>
            </w:r>
          </w:p>
        </w:tc>
        <w:tc>
          <w:tcPr>
            <w:tcW w:type="dxa" w:w="4680"/>
            <w:tcMar>
              <w:top w:type="dxa" w:w="50"/>
              <w:left w:type="dxa" w:w="80"/>
              <w:bottom w:type="dxa" w:w="50"/>
              <w:right w:type="dxa" w:w="80"/>
            </w:tcMar>
          </w:tcPr>
          <w:p>
            <w:pPr>
              <w:spacing w:after="0"/>
              <w:jc w:val="right"/>
            </w:pPr>
            <w:r>
              <w:rPr>
                <w:sz w:val="17"/>
                <w:szCs w:val="17"/>
              </w:rPr>
              <w:t xml:space="preserve">$248,000</w:t>
            </w:r>
          </w:p>
        </w:tc>
      </w:tr>
      <w:tr>
        <w:tc>
          <w:tcPr>
            <w:tcW w:type="dxa" w:w="4680"/>
            <w:shd w:fill="EEF3F4" w:color="auto" w:val="clear"/>
            <w:tcMar>
              <w:top w:type="dxa" w:w="50"/>
              <w:left w:type="dxa" w:w="80"/>
              <w:bottom w:type="dxa" w:w="50"/>
              <w:right w:type="dxa" w:w="80"/>
            </w:tcMar>
          </w:tcPr>
          <w:p>
            <w:pPr>
              <w:spacing w:after="0"/>
              <w:jc w:val="left"/>
            </w:pPr>
            <w:r>
              <w:rPr>
                <w:sz w:val="17"/>
                <w:szCs w:val="17"/>
              </w:rPr>
              <w:t xml:space="preserve">Monthly debt service</w:t>
            </w:r>
          </w:p>
        </w:tc>
        <w:tc>
          <w:tcPr>
            <w:tcW w:type="dxa" w:w="4680"/>
            <w:shd w:fill="EEF3F4" w:color="auto" w:val="clear"/>
            <w:tcMar>
              <w:top w:type="dxa" w:w="50"/>
              <w:left w:type="dxa" w:w="80"/>
              <w:bottom w:type="dxa" w:w="50"/>
              <w:right w:type="dxa" w:w="80"/>
            </w:tcMar>
          </w:tcPr>
          <w:p>
            <w:pPr>
              <w:spacing w:after="0"/>
              <w:jc w:val="right"/>
            </w:pPr>
            <w:r>
              <w:rPr>
                <w:sz w:val="17"/>
                <w:szCs w:val="17"/>
              </w:rPr>
              <w:t xml:space="preserve">$4,312</w:t>
            </w:r>
          </w:p>
        </w:tc>
      </w:tr>
      <w:tr>
        <w:tc>
          <w:tcPr>
            <w:tcW w:type="dxa" w:w="4680"/>
            <w:tcMar>
              <w:top w:type="dxa" w:w="50"/>
              <w:left w:type="dxa" w:w="80"/>
              <w:bottom w:type="dxa" w:w="50"/>
              <w:right w:type="dxa" w:w="80"/>
            </w:tcMar>
          </w:tcPr>
          <w:p>
            <w:pPr>
              <w:spacing w:after="0"/>
              <w:jc w:val="left"/>
            </w:pPr>
            <w:r>
              <w:rPr>
                <w:sz w:val="17"/>
                <w:szCs w:val="17"/>
              </w:rPr>
              <w:t xml:space="preserve">Year-1 revenue</w:t>
            </w:r>
          </w:p>
        </w:tc>
        <w:tc>
          <w:tcPr>
            <w:tcW w:type="dxa" w:w="4680"/>
            <w:tcMar>
              <w:top w:type="dxa" w:w="50"/>
              <w:left w:type="dxa" w:w="80"/>
              <w:bottom w:type="dxa" w:w="50"/>
              <w:right w:type="dxa" w:w="80"/>
            </w:tcMar>
          </w:tcPr>
          <w:p>
            <w:pPr>
              <w:spacing w:after="0"/>
              <w:jc w:val="right"/>
            </w:pPr>
            <w:r>
              <w:rPr>
                <w:sz w:val="17"/>
                <w:szCs w:val="17"/>
              </w:rPr>
              <w:t xml:space="preserve">$594,456</w:t>
            </w:r>
          </w:p>
        </w:tc>
      </w:tr>
      <w:tr>
        <w:tc>
          <w:tcPr>
            <w:tcW w:type="dxa" w:w="4680"/>
            <w:shd w:fill="EEF3F4" w:color="auto" w:val="clear"/>
            <w:tcMar>
              <w:top w:type="dxa" w:w="50"/>
              <w:left w:type="dxa" w:w="80"/>
              <w:bottom w:type="dxa" w:w="50"/>
              <w:right w:type="dxa" w:w="80"/>
            </w:tcMar>
          </w:tcPr>
          <w:p>
            <w:pPr>
              <w:spacing w:after="0"/>
              <w:jc w:val="left"/>
            </w:pPr>
            <w:r>
              <w:rPr>
                <w:sz w:val="17"/>
                <w:szCs w:val="17"/>
              </w:rPr>
              <w:t xml:space="preserve">Break-even volume</w:t>
            </w:r>
          </w:p>
        </w:tc>
        <w:tc>
          <w:tcPr>
            <w:tcW w:type="dxa" w:w="4680"/>
            <w:shd w:fill="EEF3F4" w:color="auto" w:val="clear"/>
            <w:tcMar>
              <w:top w:type="dxa" w:w="50"/>
              <w:left w:type="dxa" w:w="80"/>
              <w:bottom w:type="dxa" w:w="50"/>
              <w:right w:type="dxa" w:w="80"/>
            </w:tcMar>
          </w:tcPr>
          <w:p>
            <w:pPr>
              <w:spacing w:after="0"/>
              <w:jc w:val="right"/>
            </w:pPr>
            <w:r>
              <w:rPr>
                <w:sz w:val="17"/>
                <w:szCs w:val="17"/>
              </w:rPr>
              <w:t xml:space="preserve">18,781 units/month</w:t>
            </w:r>
          </w:p>
        </w:tc>
      </w:tr>
      <w:tr>
        <w:tc>
          <w:tcPr>
            <w:tcW w:type="dxa" w:w="4680"/>
            <w:tcMar>
              <w:top w:type="dxa" w:w="50"/>
              <w:left w:type="dxa" w:w="80"/>
              <w:bottom w:type="dxa" w:w="50"/>
              <w:right w:type="dxa" w:w="80"/>
            </w:tcMar>
          </w:tcPr>
          <w:p>
            <w:pPr>
              <w:spacing w:after="0"/>
              <w:jc w:val="left"/>
            </w:pPr>
            <w:r>
              <w:rPr>
                <w:sz w:val="17"/>
                <w:szCs w:val="17"/>
              </w:rPr>
              <w:t xml:space="preserve">Cash low point</w:t>
            </w:r>
          </w:p>
        </w:tc>
        <w:tc>
          <w:tcPr>
            <w:tcW w:type="dxa" w:w="4680"/>
            <w:tcMar>
              <w:top w:type="dxa" w:w="50"/>
              <w:left w:type="dxa" w:w="80"/>
              <w:bottom w:type="dxa" w:w="50"/>
              <w:right w:type="dxa" w:w="80"/>
            </w:tcMar>
          </w:tcPr>
          <w:p>
            <w:pPr>
              <w:spacing w:after="0"/>
              <w:jc w:val="right"/>
            </w:pPr>
            <w:r>
              <w:rPr>
                <w:sz w:val="17"/>
                <w:szCs w:val="17"/>
              </w:rPr>
              <w:t xml:space="preserve">$9,062 in month 4</w:t>
            </w:r>
          </w:p>
        </w:tc>
      </w:tr>
      <w:tr>
        <w:tc>
          <w:tcPr>
            <w:tcW w:type="dxa" w:w="4680"/>
            <w:shd w:fill="EEF3F4" w:color="auto" w:val="clear"/>
            <w:tcMar>
              <w:top w:type="dxa" w:w="50"/>
              <w:left w:type="dxa" w:w="80"/>
              <w:bottom w:type="dxa" w:w="50"/>
              <w:right w:type="dxa" w:w="80"/>
            </w:tcMar>
          </w:tcPr>
          <w:p>
            <w:pPr>
              <w:spacing w:after="0"/>
              <w:jc w:val="left"/>
            </w:pPr>
            <w:r>
              <w:rPr>
                <w:sz w:val="17"/>
                <w:szCs w:val="17"/>
              </w:rPr>
              <w:t xml:space="preserve">Year-1 DSCR</w:t>
            </w:r>
          </w:p>
        </w:tc>
        <w:tc>
          <w:tcPr>
            <w:tcW w:type="dxa" w:w="4680"/>
            <w:shd w:fill="EEF3F4" w:color="auto" w:val="clear"/>
            <w:tcMar>
              <w:top w:type="dxa" w:w="50"/>
              <w:left w:type="dxa" w:w="80"/>
              <w:bottom w:type="dxa" w:w="50"/>
              <w:right w:type="dxa" w:w="80"/>
            </w:tcMar>
          </w:tcPr>
          <w:p>
            <w:pPr>
              <w:spacing w:after="0"/>
              <w:jc w:val="right"/>
            </w:pPr>
            <w:r>
              <w:rPr>
                <w:sz w:val="17"/>
                <w:szCs w:val="17"/>
              </w:rPr>
              <w:t xml:space="preserve">1.49 (floor 1.25)</w:t>
            </w:r>
          </w:p>
        </w:tc>
      </w:tr>
    </w:tbl>
    <w:p>
      <w:pPr>
        <w:spacing w:after="140"/>
      </w:pPr>
      <w:r>
        <w:t xml:space="preserve"/>
      </w:r>
    </w:p>
    <w:p>
      <w:pPr>
        <w:spacing w:after="90"/>
      </w:pPr>
      <w:r>
        <w:t xml:space="preserve"/>
      </w:r>
    </w:p>
    <w:p>
      <w:pPr>
        <w:pStyle w:val="Heading1"/>
        <w:spacing w:after="140" w:before="320"/>
      </w:pPr>
      <w:r>
        <w:t xml:space="preserve">Executive Summary</w:t>
      </w:r>
    </w:p>
    <w:p>
      <w:pPr>
        <w:spacing w:after="130"/>
      </w:pPr>
      <w:r>
        <w:t xml:space="preserve">Ridgeline Freight LLC is a Tennessee limited liability company formed in March 2024 that operates as a one-truck dry-van carrier under its own FMCSA authority. The business runs regional lanes within a 500-mile radius of Knoxville, serving contracted shippers, spot-market loads, and accessorial services. The single owner, Darnell Whitaker, holds 100 percent of the equity and has 14 years of commercial driving experience, including two years operating under his own authority with a clean CSA record.</w:t>
      </w:r>
    </w:p>
    <w:p>
      <w:pPr>
        <w:spacing w:after="90"/>
      </w:pPr>
      <w:r>
        <w:t xml:space="preserve"/>
      </w:r>
    </w:p>
    <w:p>
      <w:pPr>
        <w:spacing w:after="130"/>
      </w:pPr>
      <w:r>
        <w:t xml:space="preserve">The plan calls for growth to three trucks and a steady-state capacity of 31,500 loaded miles per month. Contracted lanes are projected to represent 64 percent of revenue, spot loads 27 percent, and detention and accessorial fees 9 percent, at an average rate of $2.48 per loaded mile. Year-one revenue is stated at $594,456. Fixed monthly operating expenses total $28,930, producing a contribution margin of $1.77 per loaded mile. The operation is projected to reach break-even in month five and generate a debt-service coverage ratio of 1.49 in year one, rising to 1.62 in year two and 1.71 in year three.</w:t>
      </w:r>
    </w:p>
    <w:p>
      <w:pPr>
        <w:spacing w:after="90"/>
      </w:pPr>
      <w:r>
        <w:t xml:space="preserve"/>
      </w:r>
    </w:p>
    <w:p>
      <w:pPr>
        <w:spacing w:after="130"/>
      </w:pPr>
      <w:r>
        <w:t xml:space="preserve">The request is for a $248,000 term loan to be used for two used tractors, two trailers, insurance down payment, factoring escrow, compliance equipment, and 60 days of working capital. The owner will inject $73,000 from seasoned savings and retained earnings. Collateral consists of the two new tractors, two trailers, and an existing tractor valued at $61,000. The loan is structured over 84 months at 11.5 percent, with monthly debt service of $4,311.84. New-authority insurance costs are included at the quoted premium for the first two years.</w:t>
      </w:r>
    </w:p>
    <w:p>
      <w:pPr>
        <w:spacing w:after="90"/>
      </w:pPr>
      <w:r>
        <w:t xml:space="preserve"/>
      </w:r>
    </w:p>
    <w:p>
      <w:pPr>
        <w:pStyle w:val="Heading1"/>
        <w:spacing w:after="140" w:before="320"/>
      </w:pPr>
      <w:r>
        <w:t xml:space="preserve">Company Description</w:t>
      </w:r>
    </w:p>
    <w:p>
      <w:pPr>
        <w:spacing w:after="130"/>
      </w:pPr>
      <w:r>
        <w:t xml:space="preserve">Ridgeline Freight LLC is a Tennessee limited liability company formed on March 11, 2024, and wholly owned by Darnell Whitaker. The company operates as a dry-van motor carrier under its own FMCSA authority, providing regional freight service from a base in Knoxville. It currently runs one owner-operated truck and plans to add two more, for a fleet of three, each expected to generate approximately 10,500 loaded miles per month within hours-of-service limits.</w:t>
      </w:r>
    </w:p>
    <w:p>
      <w:pPr>
        <w:spacing w:after="90"/>
      </w:pPr>
      <w:r>
        <w:t xml:space="preserve"/>
      </w:r>
    </w:p>
    <w:p>
      <w:pPr>
        <w:spacing w:after="130"/>
      </w:pPr>
      <w:r>
        <w:t xml:space="preserve">The service area is a 500-mile radius centered on Knoxville along I-40, which connects the Memphis and Atlanta freight corridors and reaches the Volkswagen and Amazon distribution centers near Chattanooga. This geography supports lanes that allow most drivers to return home nightly. Revenue is generated from three sources: contracted regional lanes (64 percent), spot-market loads (27 percent), and detention and accessorial charges (9 percent). The operator reports 118,400 loaded miles and $281,800 in revenue over the trailing twelve months at an average rate of $2.38 per mile, with a 94 percent on-time record.</w:t>
      </w:r>
    </w:p>
    <w:p>
      <w:pPr>
        <w:spacing w:after="90"/>
      </w:pPr>
      <w:r>
        <w:t xml:space="preserve"/>
      </w:r>
    </w:p>
    <w:p>
      <w:pPr>
        <w:spacing w:after="130"/>
      </w:pPr>
      <w:r>
        <w:t xml:space="preserve">Whitaker holds a Class A CDL issued in 2012 and has fourteen years of driving experience, including nine years with a regional carrier, two years under lease, and two years under his own authority. The record shows no reportable accidents and a clean CSA profile. The company has identified the need for a part-time dispatcher and a trucking-specialist CPA to address the transition from single-truck to multi-truck operations. Two shippers have indicated they will offer dedicated lanes once the fleet reaches three trucks, which would allow coverage for maintenance or breakdowns. As a new authority, the business carries elevated insurance costs for the initial two years, a factor reflected in the operating plan.</w:t>
      </w:r>
    </w:p>
    <w:p>
      <w:pPr>
        <w:spacing w:after="90"/>
      </w:pPr>
      <w:r>
        <w:t xml:space="preserve"/>
      </w:r>
    </w:p>
    <w:p>
      <w:pPr>
        <w:pStyle w:val="Heading1"/>
        <w:spacing w:after="140" w:before="320"/>
      </w:pPr>
      <w:r>
        <w:t xml:space="preserve">Products and Services</w:t>
      </w:r>
    </w:p>
    <w:p>
      <w:pPr>
        <w:spacing w:after="130"/>
      </w:pPr>
      <w:r>
        <w:t xml:space="preserve">Ridgeline Freight LLC provides dry-van freight transportation on regional lanes originating from Knoxville, Tennessee. The company moves freight within a 500-mile radius that includes the I-40 corridor between Memphis and Atlanta and the Volkswagen and Amazon distribution facilities near Chattanooga. All revenue is recorded per loaded mile.</w:t>
      </w:r>
    </w:p>
    <w:p>
      <w:pPr>
        <w:spacing w:after="90"/>
      </w:pPr>
      <w:r>
        <w:t xml:space="preserve"/>
      </w:r>
    </w:p>
    <w:p>
      <w:pPr>
        <w:spacing w:after="130"/>
      </w:pPr>
      <w:r>
        <w:t xml:space="preserve">The service mix comprises three lines. Contracted regional lanes generate 64 percent of revenue. Spot-market loads contribute 27 percent. Detention and accessorial charges account for the remaining 9 percent. The current average rate is $2.48 per loaded mile. The operation runs 22 days per month at 11 hours per day, with an 80 percent utilization target once three trucks are active. Each truck is projected to produce 10,500 loaded miles per month after deadhead, for a combined monthly capacity of 31,500 loaded miles.</w:t>
      </w:r>
    </w:p>
    <w:p>
      <w:pPr>
        <w:spacing w:after="90"/>
      </w:pPr>
      <w:r>
        <w:t xml:space="preserve"/>
      </w:r>
    </w:p>
    <w:p>
      <w:pPr>
        <w:spacing w:after="130"/>
      </w:pPr>
      <w:r>
        <w:t xml:space="preserve">Expansion from one owner-operated unit to three trucks under the carrier’s own FMCSA authority enables the two shippers that have offered dedicated lanes to proceed. A single truck cannot guarantee lane coverage during repairs or absences; three units allow substitution while maintaining the contracted schedule. The operator’s 14-year driving record, including nine years with a regional dry-van carrier and a clean CSA history under own authority since March 2024, supports the reliability claim. New-entrant insurance rates will remain elevated for the first 24 months, a cost already reflected in the operating projections.</w:t>
      </w:r>
    </w:p>
    <w:p>
      <w:pPr>
        <w:spacing w:after="90"/>
      </w:pPr>
      <w:r>
        <w:t xml:space="preserve"/>
      </w:r>
    </w:p>
    <w:p>
      <w:pPr>
        <w:spacing w:after="130"/>
      </w:pPr>
      <w:r>
        <w:t xml:space="preserve">Seasonal volume declines to 81 percent of peak during non-autumn months. The plan assumes the current 72 percent repeat-customer rate holds as contracted miles replace spot miles. No other service lines or geographic markets are included in the operating assumptions.</w:t>
      </w:r>
    </w:p>
    <w:p>
      <w:pPr>
        <w:spacing w:after="90"/>
      </w:pPr>
      <w:r>
        <w:t xml:space="preserve"/>
      </w:r>
    </w:p>
    <w:p>
      <w:pPr>
        <w:pStyle w:val="Heading1"/>
        <w:spacing w:after="140" w:before="320"/>
      </w:pPr>
      <w:r>
        <w:t xml:space="preserve">Market Analysis</w:t>
      </w:r>
    </w:p>
    <w:p>
      <w:pPr>
        <w:spacing w:after="130"/>
      </w:pPr>
      <w:r>
        <w:t xml:space="preserve">Ridgeline Freight LLC operates as a regional dry-van carrier based in Knoxville, Tennessee, serving lanes within a 500-mile radius that includes connections along I-40 between Memphis and Atlanta and access to distribution facilities near Chattanooga. The company has conducted operations under its own FMCSA authority since March 2024, recording 118,400 loaded miles over the trailing twelve months at a 94 percent on-time rate. Two shippers have conditioned dedicated-lane commitments on the addition of a second and third truck, which would enable coverage during maintenance or other downtime.</w:t>
      </w:r>
    </w:p>
    <w:p>
      <w:pPr>
        <w:spacing w:after="90"/>
      </w:pPr>
      <w:r>
        <w:t xml:space="preserve"/>
      </w:r>
    </w:p>
    <w:p>
      <w:pPr>
        <w:spacing w:after="130"/>
      </w:pPr>
      <w:r>
        <w:t xml:space="preserve">The operator plans to shift the revenue mix toward contracted regional lanes, which currently account for 64 percent of activity, while reducing reliance on spot-market loads at 27 percent and detention or accessorial charges at 9 percent. Seasonality follows an autumn peak, with the lowest month reaching 81 percent of average volume. Sales occur primarily through direct contracts rather than location-based traffic.</w:t>
      </w:r>
    </w:p>
    <w:p>
      <w:pPr>
        <w:spacing w:after="90"/>
      </w:pPr>
      <w:r>
        <w:t xml:space="preserve"/>
      </w:r>
    </w:p>
    <w:p>
      <w:pPr>
        <w:spacing w:after="130"/>
      </w:pPr>
      <w:r>
        <w:t xml:space="preserve">Competitors include large asset-based regional carriers that quote lower rates at scale but decline short-notice or smaller lanes, owner-operators active on the spot market, and freight brokers that move loads to the lowest available provider. The three-truck configuration is intended to support reliability commitments that single-truck operators cannot meet and that larger carriers often avoid on lanes under 200 miles. The operator brings 14 years of driving experience, including nine years with a regional carrier and a clean CSA record.</w:t>
      </w:r>
    </w:p>
    <w:p>
      <w:pPr>
        <w:spacing w:after="90"/>
      </w:pPr>
      <w:r>
        <w:t xml:space="preserve"/>
      </w:r>
    </w:p>
    <w:p>
      <w:pPr>
        <w:spacing w:after="130"/>
      </w:pPr>
      <w:r>
        <w:t xml:space="preserve">Market size, total addressable volume, and precise competitor counts within the defined radius are not quantified in the available information. The plan notes that new motor carriers face elevated insurance costs for the initial 24 months, a factor reflected in the operating projections.</w:t>
      </w:r>
    </w:p>
    <w:p>
      <w:pPr>
        <w:spacing w:after="90"/>
      </w:pPr>
      <w:r>
        <w:t xml:space="preserve"/>
      </w:r>
    </w:p>
    <w:p>
      <w:pPr>
        <w:pStyle w:val="Heading1"/>
        <w:spacing w:after="140" w:before="320"/>
      </w:pPr>
      <w:r>
        <w:t xml:space="preserve">Competitive Analysis</w:t>
      </w:r>
    </w:p>
    <w:p>
      <w:pPr>
        <w:spacing w:after="130"/>
      </w:pPr>
      <w:r>
        <w:t xml:space="preserve">Ridgeline Freight LLC competes against an estimated 40 carriers in its 500-mile regional market. The three main categories are large asset-based regional carriers at an average 2.15 per loaded mile, owner-operators active on the spot market at 2.55 per loaded mile, and freight brokers placing loads at 2.30 per loaded mile.</w:t>
      </w:r>
    </w:p>
    <w:p>
      <w:pPr>
        <w:spacing w:after="90"/>
      </w:pPr>
      <w:r>
        <w:t xml:space="preserve"/>
      </w:r>
    </w:p>
    <w:p>
      <w:pPr>
        <w:spacing w:after="130"/>
      </w:pPr>
      <w:r>
        <w:t xml:space="preserve">Large carriers win major RFPs through scale but decline short-notice or shorter lanes. Owner-operators set the higher spot price point yet lack capacity to guarantee lane coverage when a single truck is unavailable. Brokers function as both intermediaries and price setters, establishing the floor rate that Ridgeline seeks to reduce through contracted volume.</w:t>
      </w:r>
    </w:p>
    <w:p>
      <w:pPr>
        <w:spacing w:after="90"/>
      </w:pPr>
      <w:r>
        <w:t xml:space="preserve"/>
      </w:r>
    </w:p>
    <w:p>
      <w:pPr>
        <w:spacing w:after="130"/>
      </w:pPr>
      <w:r>
        <w:t xml:space="preserve">Ridgeline’s current mix is 64 percent contracted regional lanes, 27 percent spot loads, and 9 percent detention and accessorial charges, with a trailing twelve-month average rate of 2.38 per loaded mile and a 94 percent on-time record. The operator holds fourteen years of driving experience, a clean CSA record, and two shippers have already offered dedicated lanes once a second and third truck are added.</w:t>
      </w:r>
    </w:p>
    <w:p>
      <w:pPr>
        <w:spacing w:after="90"/>
      </w:pPr>
      <w:r>
        <w:t xml:space="preserve"/>
      </w:r>
    </w:p>
    <w:p>
      <w:pPr>
        <w:spacing w:after="130"/>
      </w:pPr>
      <w:r>
        <w:t xml:space="preserve">The expansion to three trucks enables the commitment that a lane will continue operating during maintenance or repairs, addressing the coverage gap that prevents both owner-operators and single-truck carriers from securing such contracts. This reliability focus supports the planned shift of spot miles to contracted miles, which is projected to increase the average rate without requiring additional loaded miles. No other competitive factors or market-share data are provided in the plan.</w:t>
      </w:r>
    </w:p>
    <w:p>
      <w:pPr>
        <w:spacing w:after="90"/>
      </w:pPr>
      <w:r>
        <w:t xml:space="preserve"/>
      </w:r>
    </w:p>
    <w:p>
      <w:pPr>
        <w:pStyle w:val="Heading1"/>
        <w:spacing w:after="140" w:before="320"/>
      </w:pPr>
      <w:r>
        <w:t xml:space="preserve">Marketing and Sales Plan</w:t>
      </w:r>
    </w:p>
    <w:p>
      <w:pPr>
        <w:spacing w:after="130"/>
      </w:pPr>
      <w:r>
        <w:t xml:space="preserve">Ridgeline Freight currently operates one truck under its own FMCSA authority, recording 118,400 loaded miles over the trailing twelve months at an average rate of $2.38 per mile. Two shippers have conditioned dedicated-lane commitments on the addition of a second and third truck, citing the need for backup capacity when one unit is out of service. The operator plans to shift the revenue mix from the current 27 percent spot-market share toward a target of 64 percent contracted regional lanes within the first six months, with the remaining revenue split between spot loads at 27 percent and accessorial charges at 9 percent.</w:t>
      </w:r>
    </w:p>
    <w:p>
      <w:pPr>
        <w:spacing w:after="90"/>
      </w:pPr>
      <w:r>
        <w:t xml:space="preserve"/>
      </w:r>
    </w:p>
    <w:p>
      <w:pPr>
        <w:spacing w:after="130"/>
      </w:pPr>
      <w:r>
        <w:t xml:space="preserve">Sales activity centers on direct contracts rather than broker channels. The 500-mile radius from Knoxville is selected to keep drivers on familiar lanes and to enable most-night returns, a factor the operator states supports the existing 72 percent repeat-customer rate and 94 percent on-time performance. Expansion to three trucks is intended to allow lane coverage during maintenance or driver absence, addressing the limitation noted by the two interested shippers.</w:t>
      </w:r>
    </w:p>
    <w:p>
      <w:pPr>
        <w:spacing w:after="90"/>
      </w:pPr>
      <w:r>
        <w:t xml:space="preserve"/>
      </w:r>
    </w:p>
    <w:p>
      <w:pPr>
        <w:spacing w:after="130"/>
      </w:pPr>
      <w:r>
        <w:t xml:space="preserve">Competitive positioning rests on reliability rather than lowest price. Large asset carriers quote lower per-mile rates on high-volume bids but decline short-notice or smaller lanes; owner-operators on the spot market quote higher rates yet cannot guarantee continuity with a single unit. The plan projects conversion of existing spot miles into contracted miles at the current average rate of $2.48, increasing revenue stability without assuming growth in total miles beyond the calculated steady-state volume.</w:t>
      </w:r>
    </w:p>
    <w:p>
      <w:pPr>
        <w:spacing w:after="90"/>
      </w:pPr>
      <w:r>
        <w:t xml:space="preserve"/>
      </w:r>
    </w:p>
    <w:p>
      <w:pPr>
        <w:spacing w:after="130"/>
      </w:pPr>
      <w:r>
        <w:t xml:space="preserve">Seasonality is accounted for by an 81 percent low-month baseline relative to the autumn peak. No market-size estimates or third-party demand forecasts are supplied; the operator relies on the two conditional lane offers and the twelve-month operating record as the sole demand evidence presented. The insurance surcharge applicable to new authorities for the first twenty-four months is noted in the cost structure but does not alter the lane-conversion strategy.</w:t>
      </w:r>
    </w:p>
    <w:p>
      <w:pPr>
        <w:spacing w:after="90"/>
      </w:pPr>
      <w:r>
        <w:t xml:space="preserve"/>
      </w:r>
    </w:p>
    <w:p>
      <w:pPr>
        <w:pStyle w:val="Heading1"/>
        <w:spacing w:after="140" w:before="320"/>
      </w:pPr>
      <w:r>
        <w:t xml:space="preserve">Operations Plan</w:t>
      </w:r>
    </w:p>
    <w:p>
      <w:pPr>
        <w:spacing w:after="130"/>
      </w:pPr>
      <w:r>
        <w:t xml:space="preserve">Ridgeline Freight LLC is a Tennessee limited liability company formed in March 2024 with one owner holding 100 percent equity. It currently operates one truck under its own FMCSA authority and plans to reach three trucks within six months. All trucks will run dry-van freight inside a 500-mile radius centered on Knoxville, Tennessee, on I-40. This radius covers lanes between Memphis and Atlanta markets and the Chattanooga distribution centers, allowing most drivers to return home nightly.</w:t>
      </w:r>
    </w:p>
    <w:p>
      <w:pPr>
        <w:spacing w:after="90"/>
      </w:pPr>
      <w:r>
        <w:t xml:space="preserve"/>
      </w:r>
    </w:p>
    <w:p>
      <w:pPr>
        <w:spacing w:after="130"/>
      </w:pPr>
      <w:r>
        <w:t xml:space="preserve">Each truck is budgeted for 10,500 loaded miles per month once deadhead is excluded, for a fleet total of 31,500 loaded miles at 80 percent utilization. The revenue mix is projected at 64 percent contracted regional lanes, 27 percent spot loads, and 9 percent detention and accessorial charges. The operator reports 118,400 loaded miles and $281,800 revenue over the trailing twelve months at an average $2.38 per loaded mile, with a 94 percent on-time record. Two shippers have conditioned dedicated-lane offers on the addition of the second and third trucks.</w:t>
      </w:r>
    </w:p>
    <w:p>
      <w:pPr>
        <w:spacing w:after="90"/>
      </w:pPr>
      <w:r>
        <w:t xml:space="preserve"/>
      </w:r>
    </w:p>
    <w:p>
      <w:pPr>
        <w:spacing w:after="130"/>
      </w:pPr>
      <w:r>
        <w:t xml:space="preserve">Operations run 22 days per month and 11 hours per day. The owner will add a part-time dispatcher at month three and retain a trucking-specific CPA for bookkeeping. Two company drivers will be hired for the additional trucks. Fixed monthly operating costs total $28,930, which includes elevated insurance premiums typical for carriers in their first two years of authority. Variable costs are stated at $0.71 per loaded mile.</w:t>
      </w:r>
    </w:p>
    <w:p>
      <w:pPr>
        <w:spacing w:after="90"/>
      </w:pPr>
      <w:r>
        <w:t xml:space="preserve"/>
      </w:r>
    </w:p>
    <w:p>
      <w:pPr>
        <w:spacing w:after="130"/>
      </w:pPr>
      <w:r>
        <w:t xml:space="preserve">The three-truck fleet allows the company to cover a lane when one unit is out of service for maintenance or inspection, addressing the primary limitation of single-truck owner-operators. All equipment will be inspected before service, equipped with ELDs and cameras, and maintained under scheduled budgets. The plan shows steady-state monthly revenue of $62,496 once the fleet reaches three trucks.</w:t>
      </w:r>
    </w:p>
    <w:p>
      <w:pPr>
        <w:spacing w:after="90"/>
      </w:pPr>
      <w:r>
        <w:t xml:space="preserve"/>
      </w:r>
    </w:p>
    <w:p>
      <w:pPr>
        <w:pStyle w:val="Heading1"/>
        <w:spacing w:after="140" w:before="320"/>
      </w:pPr>
      <w:r>
        <w:t xml:space="preserve">Management and Organisation</w:t>
      </w:r>
    </w:p>
    <w:p>
      <w:pPr>
        <w:spacing w:after="130"/>
      </w:pPr>
      <w:r>
        <w:t xml:space="preserve">Ridgeline Freight LLC is a single-member limited liability company formed in Tennessee on March 11, 2024. Darnell Whitaker holds 100 percent ownership and serves as the sole principal. Whitaker has operated under the company’s own FMCSA authority since formation and will continue to drive one of the three planned trucks while overseeing operations.</w:t>
      </w:r>
    </w:p>
    <w:p>
      <w:pPr>
        <w:spacing w:after="90"/>
      </w:pPr>
      <w:r>
        <w:t xml:space="preserve"/>
      </w:r>
    </w:p>
    <w:p>
      <w:pPr>
        <w:spacing w:after="130"/>
      </w:pPr>
      <w:r>
        <w:t xml:space="preserve">Whitaker has accumulated fourteen years of commercial driving experience, including nine years as a company driver for a regional dry-van carrier, two years under lease, and two years running independently. The operator holds a Class A CDL issued in 2012, maintains a clean motor vehicle record and CSA record, and carries a current medical certificate. Whitaker has also managed profit-and-loss statements for the existing single-truck operation.</w:t>
      </w:r>
    </w:p>
    <w:p>
      <w:pPr>
        <w:spacing w:after="90"/>
      </w:pPr>
      <w:r>
        <w:t xml:space="preserve"/>
      </w:r>
    </w:p>
    <w:p>
      <w:pPr>
        <w:spacing w:after="130"/>
      </w:pPr>
      <w:r>
        <w:t xml:space="preserve">The plan identifies one material management gap: Whitaker has not previously supervised other drivers. To address this, the operating budget includes a part-time dispatcher beginning in month three and engages a trucking-specialized CPA for bookkeeping at a fixed monthly cost. Two company drivers will be added for the second and third trucks, bringing total headcount to 3.5 full-time equivalents. All drivers will operate under the company’s authority rather than as independent contractors.</w:t>
      </w:r>
    </w:p>
    <w:p>
      <w:pPr>
        <w:spacing w:after="90"/>
      </w:pPr>
      <w:r>
        <w:t xml:space="preserve"/>
      </w:r>
    </w:p>
    <w:p>
      <w:pPr>
        <w:spacing w:after="130"/>
      </w:pPr>
      <w:r>
        <w:t xml:space="preserve">The owner will devote full time to the business. No additional executive or administrative staff are planned during the initial three-year period. Ownership and control remain unchanged, with no other individuals holding equity or decision rights.</w:t>
      </w:r>
    </w:p>
    <w:p>
      <w:pPr>
        <w:spacing w:after="90"/>
      </w:pPr>
      <w:r>
        <w:t xml:space="preserve"/>
      </w:r>
    </w:p>
    <w:p>
      <w:pPr>
        <w:pStyle w:val="Heading1"/>
        <w:spacing w:after="140" w:before="320"/>
      </w:pPr>
      <w:r>
        <w:t xml:space="preserve">Licensing and Compliance</w:t>
      </w:r>
    </w:p>
    <w:p>
      <w:pPr>
        <w:spacing w:after="130"/>
      </w:pPr>
      <w:r>
        <w:t xml:space="preserve">Ridgeline Freight LLC was formed in Tennessee on March 11, 2024, and maintains an active EIN. The company has operated under its own FMCSA authority since March 2024. The sole owner holds a Class A CDL issued in 2012, a clean motor vehicle record, and a current medical certificate. The operator reports a clean CSA record with no reportable accidents during fourteen years of driving experience, including the period since obtaining authority.</w:t>
      </w:r>
    </w:p>
    <w:p>
      <w:pPr>
        <w:spacing w:after="90"/>
      </w:pPr>
      <w:r>
        <w:t xml:space="preserve"/>
      </w:r>
    </w:p>
    <w:p>
      <w:pPr>
        <w:spacing w:after="130"/>
      </w:pPr>
      <w:r>
        <w:t xml:space="preserve">Insurance has been quoted for the planned fleet. New motor carriers face elevated premiums for the first two years of operation under FMCSA rules, and this cost structure is reflected in the projections. Zoning confirmation has been obtained for the Knoxville location. ELD hardware, dash cameras, and pre-service DOT inspections are included in startup outlays to meet federal requirements. Bookkeeping is assigned to a trucking-specialized CPA, and a part-time dispatcher is budgeted to support compliance and scheduling once additional trucks are added.</w:t>
      </w:r>
    </w:p>
    <w:p>
      <w:pPr>
        <w:spacing w:after="90"/>
      </w:pPr>
      <w:r>
        <w:t xml:space="preserve"/>
      </w:r>
    </w:p>
    <w:p>
      <w:pPr>
        <w:spacing w:after="130"/>
      </w:pPr>
      <w:r>
        <w:t xml:space="preserve">The business maintains required operating credentials for interstate dry-van carriage. No federal debt defaults or bankruptcy history are recorded for the owner. All listed licenses and certificates are either held or quoted as of the application date.</w:t>
      </w:r>
    </w:p>
    <w:p>
      <w:pPr>
        <w:spacing w:after="90"/>
      </w:pPr>
      <w:r>
        <w:t xml:space="preserve"/>
      </w:r>
    </w:p>
    <w:p>
      <w:pPr>
        <w:pStyle w:val="Heading1"/>
        <w:spacing w:after="140" w:before="320"/>
      </w:pPr>
      <w:r>
        <w:t xml:space="preserve">Financial Plan</w:t>
      </w:r>
    </w:p>
    <w:p>
      <w:pPr>
        <w:spacing w:after="130"/>
      </w:pPr>
      <w:r>
        <w:t xml:space="preserve">Ridgeline Freight LLC projects first-year revenue of $594,456 based on 23,950 loaded miles at an average $2.48 per mile, rising to a steady-state monthly run rate of $62,496 once three trucks reach 25,200 miles per month. The contribution margin of $1.77 per mile covers variable costs of $0.71 per mile, leaving fixed monthly operating expenses of $28,930, which include $13,025 in payroll and taxes, $4,350 in insurance, and $2,200 in maintenance.  </w:t>
      </w:r>
    </w:p>
    <w:p>
      <w:pPr>
        <w:spacing w:after="90"/>
      </w:pPr>
      <w:r>
        <w:t xml:space="preserve"/>
      </w:r>
    </w:p>
    <w:p>
      <w:pPr>
        <w:spacing w:after="130"/>
      </w:pPr>
      <w:r>
        <w:t xml:space="preserve">The $248,000 loan request, combined with a $73,000 owner injection representing 22.76 percent of the $320,800 total startup requirement, funds $178,000 in used tractors, $52,000 in trailers, insurance down payments, and 60 days of working capital. Collateral consists of the two new tractors, two trailers, and an existing tractor valued at $61,000. The owner provides a personal guarantee.  </w:t>
      </w:r>
    </w:p>
    <w:p>
      <w:pPr>
        <w:spacing w:after="90"/>
      </w:pPr>
      <w:r>
        <w:t xml:space="preserve"/>
      </w:r>
    </w:p>
    <w:p>
      <w:pPr>
        <w:spacing w:after="130"/>
      </w:pPr>
      <w:r>
        <w:t xml:space="preserve">Break-even occurs in month five at 18,781 loaded miles and $46,577 in monthly revenue, with 59.62 percent headroom above that level at steady state. Cash balance reaches a low point of $9,062 in month four before turning positive. Projected debt-service coverage ratios are 1.49 in year one, 1.62 in year two, and 1.71 in year three after accounting for the $4,312 monthly loan payment over 84 months at 11.5 percent interest.  </w:t>
      </w:r>
    </w:p>
    <w:p>
      <w:pPr>
        <w:spacing w:after="90"/>
      </w:pPr>
      <w:r>
        <w:t xml:space="preserve"/>
      </w:r>
    </w:p>
    <w:p>
      <w:pPr>
        <w:spacing w:after="130"/>
      </w:pPr>
      <w:r>
        <w:t xml:space="preserve">New-authority insurance costs remain elevated through the first 24 months and are reflected in the fixed-expense total. Seasonality assumptions reduce low months to 81 percent of peak volume. The plan shows conversion of spot miles to contracted lanes as the primary growth driver rather than mileage expansion, with cost per mile as the key viability metric. All projections use the operator’s trailing-twelve-month rate of $2.38 per mile as the baseline and apply no upward adjustments.</w:t>
      </w:r>
    </w:p>
    <w:p>
      <w:pPr>
        <w:spacing w:after="90"/>
      </w:pPr>
      <w:r>
        <w:t xml:space="preserve"/>
      </w:r>
    </w:p>
    <w:p>
      <w:pPr>
        <w:pStyle w:val="Heading2"/>
        <w:spacing w:after="110" w:before="240"/>
      </w:pPr>
      <w:r>
        <w:t xml:space="preserve">Startup Investment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rPr>
          <w:tblHeader/>
        </w:trPr>
        <w:tc>
          <w:tcPr>
            <w:tcW w:type="dxa" w:w="3120"/>
            <w:shd w:fill="0F4C5C" w:color="auto" w:val="clear"/>
            <w:tcMar>
              <w:top w:type="dxa" w:w="50"/>
              <w:left w:type="dxa" w:w="80"/>
              <w:bottom w:type="dxa" w:w="50"/>
              <w:right w:type="dxa" w:w="80"/>
            </w:tcMar>
          </w:tcPr>
          <w:p>
            <w:pPr>
              <w:spacing w:after="0"/>
              <w:jc w:val="left"/>
            </w:pPr>
            <w:r>
              <w:rPr>
                <w:b/>
                <w:bCs/>
                <w:color w:val="FFFFFF"/>
                <w:sz w:val="17"/>
                <w:szCs w:val="17"/>
              </w:rPr>
              <w:t xml:space="preserve">Startup purchase</w:t>
            </w:r>
          </w:p>
        </w:tc>
        <w:tc>
          <w:tcPr>
            <w:tcW w:type="dxa" w:w="3120"/>
            <w:shd w:fill="0F4C5C" w:color="auto" w:val="clear"/>
            <w:tcMar>
              <w:top w:type="dxa" w:w="50"/>
              <w:left w:type="dxa" w:w="80"/>
              <w:bottom w:type="dxa" w:w="50"/>
              <w:right w:type="dxa" w:w="80"/>
            </w:tcMar>
          </w:tcPr>
          <w:p>
            <w:pPr>
              <w:spacing w:after="0"/>
              <w:jc w:val="right"/>
            </w:pPr>
            <w:r>
              <w:rPr>
                <w:b/>
                <w:bCs/>
                <w:color w:val="FFFFFF"/>
                <w:sz w:val="17"/>
                <w:szCs w:val="17"/>
              </w:rPr>
              <w:t xml:space="preserve">Amount</w:t>
            </w:r>
          </w:p>
        </w:tc>
        <w:tc>
          <w:tcPr>
            <w:tcW w:type="dxa" w:w="3120"/>
            <w:shd w:fill="0F4C5C" w:color="auto" w:val="clear"/>
            <w:tcMar>
              <w:top w:type="dxa" w:w="50"/>
              <w:left w:type="dxa" w:w="80"/>
              <w:bottom w:type="dxa" w:w="50"/>
              <w:right w:type="dxa" w:w="80"/>
            </w:tcMar>
          </w:tcPr>
          <w:p>
            <w:pPr>
              <w:spacing w:after="0"/>
              <w:jc w:val="right"/>
            </w:pPr>
            <w:r>
              <w:rPr>
                <w:b/>
                <w:bCs/>
                <w:color w:val="FFFFFF"/>
                <w:sz w:val="17"/>
                <w:szCs w:val="17"/>
              </w:rPr>
              <w:t xml:space="preserve">Basis</w:t>
            </w:r>
          </w:p>
        </w:tc>
      </w:tr>
      <w:tr>
        <w:tc>
          <w:tcPr>
            <w:tcW w:type="dxa" w:w="3120"/>
            <w:tcMar>
              <w:top w:type="dxa" w:w="50"/>
              <w:left w:type="dxa" w:w="80"/>
              <w:bottom w:type="dxa" w:w="50"/>
              <w:right w:type="dxa" w:w="80"/>
            </w:tcMar>
          </w:tcPr>
          <w:p>
            <w:pPr>
              <w:spacing w:after="0"/>
              <w:jc w:val="left"/>
            </w:pPr>
            <w:r>
              <w:rPr>
                <w:sz w:val="17"/>
                <w:szCs w:val="17"/>
              </w:rPr>
              <w:t xml:space="preserve">Two used sleeper tractors, 2021 and 2022, inspected</w:t>
            </w:r>
          </w:p>
        </w:tc>
        <w:tc>
          <w:tcPr>
            <w:tcW w:type="dxa" w:w="3120"/>
            <w:tcMar>
              <w:top w:type="dxa" w:w="50"/>
              <w:left w:type="dxa" w:w="80"/>
              <w:bottom w:type="dxa" w:w="50"/>
              <w:right w:type="dxa" w:w="80"/>
            </w:tcMar>
          </w:tcPr>
          <w:p>
            <w:pPr>
              <w:spacing w:after="0"/>
              <w:jc w:val="right"/>
            </w:pPr>
            <w:r>
              <w:rPr>
                <w:sz w:val="17"/>
                <w:szCs w:val="17"/>
              </w:rPr>
              <w:t xml:space="preserve">$178,000</w:t>
            </w:r>
          </w:p>
        </w:tc>
        <w:tc>
          <w:tcPr>
            <w:tcW w:type="dxa" w:w="3120"/>
            <w:tcMar>
              <w:top w:type="dxa" w:w="50"/>
              <w:left w:type="dxa" w:w="80"/>
              <w:bottom w:type="dxa" w:w="50"/>
              <w:right w:type="dxa" w:w="80"/>
            </w:tcMar>
          </w:tcPr>
          <w:p>
            <w:pPr>
              <w:spacing w:after="0"/>
              <w:jc w:val="right"/>
            </w:pPr>
            <w:r>
              <w:rPr>
                <w:sz w:val="17"/>
                <w:szCs w:val="17"/>
              </w:rPr>
              <w:t xml:space="preserve">quote</w:t>
            </w:r>
          </w:p>
        </w:tc>
      </w:tr>
      <w:tr>
        <w:tc>
          <w:tcPr>
            <w:tcW w:type="dxa" w:w="3120"/>
            <w:shd w:fill="EEF3F4" w:color="auto" w:val="clear"/>
            <w:tcMar>
              <w:top w:type="dxa" w:w="50"/>
              <w:left w:type="dxa" w:w="80"/>
              <w:bottom w:type="dxa" w:w="50"/>
              <w:right w:type="dxa" w:w="80"/>
            </w:tcMar>
          </w:tcPr>
          <w:p>
            <w:pPr>
              <w:spacing w:after="0"/>
              <w:jc w:val="left"/>
            </w:pPr>
            <w:r>
              <w:rPr>
                <w:sz w:val="17"/>
                <w:szCs w:val="17"/>
              </w:rPr>
              <w:t xml:space="preserve">Two dry-van trailers, 53ft</w:t>
            </w:r>
          </w:p>
        </w:tc>
        <w:tc>
          <w:tcPr>
            <w:tcW w:type="dxa" w:w="3120"/>
            <w:shd w:fill="EEF3F4" w:color="auto" w:val="clear"/>
            <w:tcMar>
              <w:top w:type="dxa" w:w="50"/>
              <w:left w:type="dxa" w:w="80"/>
              <w:bottom w:type="dxa" w:w="50"/>
              <w:right w:type="dxa" w:w="80"/>
            </w:tcMar>
          </w:tcPr>
          <w:p>
            <w:pPr>
              <w:spacing w:after="0"/>
              <w:jc w:val="right"/>
            </w:pPr>
            <w:r>
              <w:rPr>
                <w:sz w:val="17"/>
                <w:szCs w:val="17"/>
              </w:rPr>
              <w:t xml:space="preserve">$52,000</w:t>
            </w:r>
          </w:p>
        </w:tc>
        <w:tc>
          <w:tcPr>
            <w:tcW w:type="dxa" w:w="3120"/>
            <w:shd w:fill="EEF3F4" w:color="auto" w:val="clear"/>
            <w:tcMar>
              <w:top w:type="dxa" w:w="50"/>
              <w:left w:type="dxa" w:w="80"/>
              <w:bottom w:type="dxa" w:w="50"/>
              <w:right w:type="dxa" w:w="80"/>
            </w:tcMar>
          </w:tcPr>
          <w:p>
            <w:pPr>
              <w:spacing w:after="0"/>
              <w:jc w:val="right"/>
            </w:pPr>
            <w:r>
              <w:rPr>
                <w:sz w:val="17"/>
                <w:szCs w:val="17"/>
              </w:rPr>
              <w:t xml:space="preserve">quote</w:t>
            </w:r>
          </w:p>
        </w:tc>
      </w:tr>
      <w:tr>
        <w:tc>
          <w:tcPr>
            <w:tcW w:type="dxa" w:w="3120"/>
            <w:tcMar>
              <w:top w:type="dxa" w:w="50"/>
              <w:left w:type="dxa" w:w="80"/>
              <w:bottom w:type="dxa" w:w="50"/>
              <w:right w:type="dxa" w:w="80"/>
            </w:tcMar>
          </w:tcPr>
          <w:p>
            <w:pPr>
              <w:spacing w:after="0"/>
              <w:jc w:val="left"/>
            </w:pPr>
            <w:r>
              <w:rPr>
                <w:sz w:val="17"/>
                <w:szCs w:val="17"/>
              </w:rPr>
              <w:t xml:space="preserve">ELD hardware, dash cameras and installation</w:t>
            </w:r>
          </w:p>
        </w:tc>
        <w:tc>
          <w:tcPr>
            <w:tcW w:type="dxa" w:w="3120"/>
            <w:tcMar>
              <w:top w:type="dxa" w:w="50"/>
              <w:left w:type="dxa" w:w="80"/>
              <w:bottom w:type="dxa" w:w="50"/>
              <w:right w:type="dxa" w:w="80"/>
            </w:tcMar>
          </w:tcPr>
          <w:p>
            <w:pPr>
              <w:spacing w:after="0"/>
              <w:jc w:val="right"/>
            </w:pPr>
            <w:r>
              <w:rPr>
                <w:sz w:val="17"/>
                <w:szCs w:val="17"/>
              </w:rPr>
              <w:t xml:space="preserve">$4,200</w:t>
            </w:r>
          </w:p>
        </w:tc>
        <w:tc>
          <w:tcPr>
            <w:tcW w:type="dxa" w:w="3120"/>
            <w:tcMar>
              <w:top w:type="dxa" w:w="50"/>
              <w:left w:type="dxa" w:w="80"/>
              <w:bottom w:type="dxa" w:w="50"/>
              <w:right w:type="dxa" w:w="80"/>
            </w:tcMar>
          </w:tcPr>
          <w:p>
            <w:pPr>
              <w:spacing w:after="0"/>
              <w:jc w:val="right"/>
            </w:pPr>
            <w:r>
              <w:rPr>
                <w:sz w:val="17"/>
                <w:szCs w:val="17"/>
              </w:rPr>
              <w:t xml:space="preserve">quote</w:t>
            </w:r>
          </w:p>
        </w:tc>
      </w:tr>
      <w:tr>
        <w:tc>
          <w:tcPr>
            <w:tcW w:type="dxa" w:w="3120"/>
            <w:shd w:fill="EEF3F4" w:color="auto" w:val="clear"/>
            <w:tcMar>
              <w:top w:type="dxa" w:w="50"/>
              <w:left w:type="dxa" w:w="80"/>
              <w:bottom w:type="dxa" w:w="50"/>
              <w:right w:type="dxa" w:w="80"/>
            </w:tcMar>
          </w:tcPr>
          <w:p>
            <w:pPr>
              <w:spacing w:after="0"/>
              <w:jc w:val="left"/>
            </w:pPr>
            <w:r>
              <w:rPr>
                <w:sz w:val="17"/>
                <w:szCs w:val="17"/>
              </w:rPr>
              <w:t xml:space="preserve">Factoring escrow and first-year insurance down payment</w:t>
            </w:r>
          </w:p>
        </w:tc>
        <w:tc>
          <w:tcPr>
            <w:tcW w:type="dxa" w:w="3120"/>
            <w:shd w:fill="EEF3F4" w:color="auto" w:val="clear"/>
            <w:tcMar>
              <w:top w:type="dxa" w:w="50"/>
              <w:left w:type="dxa" w:w="80"/>
              <w:bottom w:type="dxa" w:w="50"/>
              <w:right w:type="dxa" w:w="80"/>
            </w:tcMar>
          </w:tcPr>
          <w:p>
            <w:pPr>
              <w:spacing w:after="0"/>
              <w:jc w:val="right"/>
            </w:pPr>
            <w:r>
              <w:rPr>
                <w:sz w:val="17"/>
                <w:szCs w:val="17"/>
              </w:rPr>
              <w:t xml:space="preserve">$21,000</w:t>
            </w:r>
          </w:p>
        </w:tc>
        <w:tc>
          <w:tcPr>
            <w:tcW w:type="dxa" w:w="3120"/>
            <w:shd w:fill="EEF3F4" w:color="auto" w:val="clear"/>
            <w:tcMar>
              <w:top w:type="dxa" w:w="50"/>
              <w:left w:type="dxa" w:w="80"/>
              <w:bottom w:type="dxa" w:w="50"/>
              <w:right w:type="dxa" w:w="80"/>
            </w:tcMar>
          </w:tcPr>
          <w:p>
            <w:pPr>
              <w:spacing w:after="0"/>
              <w:jc w:val="right"/>
            </w:pPr>
            <w:r>
              <w:rPr>
                <w:sz w:val="17"/>
                <w:szCs w:val="17"/>
              </w:rPr>
              <w:t xml:space="preserve">quote</w:t>
            </w:r>
          </w:p>
        </w:tc>
      </w:tr>
      <w:tr>
        <w:tc>
          <w:tcPr>
            <w:tcW w:type="dxa" w:w="3120"/>
            <w:tcMar>
              <w:top w:type="dxa" w:w="50"/>
              <w:left w:type="dxa" w:w="80"/>
              <w:bottom w:type="dxa" w:w="50"/>
              <w:right w:type="dxa" w:w="80"/>
            </w:tcMar>
          </w:tcPr>
          <w:p>
            <w:pPr>
              <w:spacing w:after="0"/>
              <w:jc w:val="left"/>
            </w:pPr>
            <w:r>
              <w:rPr>
                <w:sz w:val="17"/>
                <w:szCs w:val="17"/>
              </w:rPr>
              <w:t xml:space="preserve">Pre-service inspection, DOT compliance and lettering</w:t>
            </w:r>
          </w:p>
        </w:tc>
        <w:tc>
          <w:tcPr>
            <w:tcW w:type="dxa" w:w="3120"/>
            <w:tcMar>
              <w:top w:type="dxa" w:w="50"/>
              <w:left w:type="dxa" w:w="80"/>
              <w:bottom w:type="dxa" w:w="50"/>
              <w:right w:type="dxa" w:w="80"/>
            </w:tcMar>
          </w:tcPr>
          <w:p>
            <w:pPr>
              <w:spacing w:after="0"/>
              <w:jc w:val="right"/>
            </w:pPr>
            <w:r>
              <w:rPr>
                <w:sz w:val="17"/>
                <w:szCs w:val="17"/>
              </w:rPr>
              <w:t xml:space="preserve">$5,600</w:t>
            </w:r>
          </w:p>
        </w:tc>
        <w:tc>
          <w:tcPr>
            <w:tcW w:type="dxa" w:w="3120"/>
            <w:tcMar>
              <w:top w:type="dxa" w:w="50"/>
              <w:left w:type="dxa" w:w="80"/>
              <w:bottom w:type="dxa" w:w="50"/>
              <w:right w:type="dxa" w:w="80"/>
            </w:tcMar>
          </w:tcPr>
          <w:p>
            <w:pPr>
              <w:spacing w:after="0"/>
              <w:jc w:val="right"/>
            </w:pPr>
            <w:r>
              <w:rPr>
                <w:sz w:val="17"/>
                <w:szCs w:val="17"/>
              </w:rPr>
              <w:t xml:space="preserve">estimate</w:t>
            </w:r>
          </w:p>
        </w:tc>
      </w:tr>
      <w:tr>
        <w:tc>
          <w:tcPr>
            <w:tcW w:type="dxa" w:w="3120"/>
            <w:shd w:fill="EEF3F4" w:color="auto" w:val="clear"/>
            <w:tcMar>
              <w:top w:type="dxa" w:w="50"/>
              <w:left w:type="dxa" w:w="80"/>
              <w:bottom w:type="dxa" w:w="50"/>
              <w:right w:type="dxa" w:w="80"/>
            </w:tcMar>
          </w:tcPr>
          <w:p>
            <w:pPr>
              <w:spacing w:after="0"/>
              <w:jc w:val="left"/>
            </w:pPr>
            <w:r>
              <w:rPr>
                <w:sz w:val="17"/>
                <w:szCs w:val="17"/>
              </w:rPr>
              <w:t xml:space="preserve">Contingency on used-equipment repair at first service</w:t>
            </w:r>
          </w:p>
        </w:tc>
        <w:tc>
          <w:tcPr>
            <w:tcW w:type="dxa" w:w="3120"/>
            <w:shd w:fill="EEF3F4" w:color="auto" w:val="clear"/>
            <w:tcMar>
              <w:top w:type="dxa" w:w="50"/>
              <w:left w:type="dxa" w:w="80"/>
              <w:bottom w:type="dxa" w:w="50"/>
              <w:right w:type="dxa" w:w="80"/>
            </w:tcMar>
          </w:tcPr>
          <w:p>
            <w:pPr>
              <w:spacing w:after="0"/>
              <w:jc w:val="right"/>
            </w:pPr>
            <w:r>
              <w:rPr>
                <w:sz w:val="17"/>
                <w:szCs w:val="17"/>
              </w:rPr>
              <w:t xml:space="preserve">$14,000</w:t>
            </w:r>
          </w:p>
        </w:tc>
        <w:tc>
          <w:tcPr>
            <w:tcW w:type="dxa" w:w="3120"/>
            <w:shd w:fill="EEF3F4" w:color="auto" w:val="clear"/>
            <w:tcMar>
              <w:top w:type="dxa" w:w="50"/>
              <w:left w:type="dxa" w:w="80"/>
              <w:bottom w:type="dxa" w:w="50"/>
              <w:right w:type="dxa" w:w="80"/>
            </w:tcMar>
          </w:tcPr>
          <w:p>
            <w:pPr>
              <w:spacing w:after="0"/>
              <w:jc w:val="right"/>
            </w:pPr>
            <w:r>
              <w:rPr>
                <w:sz w:val="17"/>
                <w:szCs w:val="17"/>
              </w:rPr>
              <w:t xml:space="preserve">estimate</w:t>
            </w:r>
          </w:p>
        </w:tc>
      </w:tr>
      <w:tr>
        <w:tc>
          <w:tcPr>
            <w:tcW w:type="dxa" w:w="3120"/>
            <w:tcMar>
              <w:top w:type="dxa" w:w="50"/>
              <w:left w:type="dxa" w:w="80"/>
              <w:bottom w:type="dxa" w:w="50"/>
              <w:right w:type="dxa" w:w="80"/>
            </w:tcMar>
          </w:tcPr>
          <w:p>
            <w:pPr>
              <w:spacing w:after="0"/>
              <w:jc w:val="left"/>
            </w:pPr>
            <w:r>
              <w:rPr>
                <w:b/>
                <w:bCs/>
                <w:sz w:val="17"/>
                <w:szCs w:val="17"/>
              </w:rPr>
              <w:t xml:space="preserve">Total capital expenditure</w:t>
            </w:r>
          </w:p>
        </w:tc>
        <w:tc>
          <w:tcPr>
            <w:tcW w:type="dxa" w:w="3120"/>
            <w:tcMar>
              <w:top w:type="dxa" w:w="50"/>
              <w:left w:type="dxa" w:w="80"/>
              <w:bottom w:type="dxa" w:w="50"/>
              <w:right w:type="dxa" w:w="80"/>
            </w:tcMar>
          </w:tcPr>
          <w:p>
            <w:pPr>
              <w:spacing w:after="0"/>
              <w:jc w:val="right"/>
            </w:pPr>
            <w:r>
              <w:rPr>
                <w:b/>
                <w:bCs/>
                <w:sz w:val="17"/>
                <w:szCs w:val="17"/>
              </w:rPr>
              <w:t xml:space="preserve">$274,800</w:t>
            </w:r>
          </w:p>
        </w:tc>
        <w:tc>
          <w:tcPr>
            <w:tcW w:type="dxa" w:w="3120"/>
            <w:tcMar>
              <w:top w:type="dxa" w:w="50"/>
              <w:left w:type="dxa" w:w="80"/>
              <w:bottom w:type="dxa" w:w="50"/>
              <w:right w:type="dxa" w:w="80"/>
            </w:tcMar>
          </w:tcPr>
          <w:p>
            <w:pPr>
              <w:spacing w:after="0"/>
              <w:jc w:val="right"/>
            </w:pPr>
            <w:r>
              <w:rPr>
                <w:sz w:val="17"/>
                <w:szCs w:val="17"/>
              </w:rPr>
              <w:t xml:space="preserve"/>
            </w:r>
          </w:p>
        </w:tc>
      </w:tr>
      <w:tr>
        <w:tc>
          <w:tcPr>
            <w:tcW w:type="dxa" w:w="3120"/>
            <w:shd w:fill="EEF3F4" w:color="auto" w:val="clear"/>
            <w:tcMar>
              <w:top w:type="dxa" w:w="50"/>
              <w:left w:type="dxa" w:w="80"/>
              <w:bottom w:type="dxa" w:w="50"/>
              <w:right w:type="dxa" w:w="80"/>
            </w:tcMar>
          </w:tcPr>
          <w:p>
            <w:pPr>
              <w:spacing w:after="0"/>
              <w:jc w:val="left"/>
            </w:pPr>
            <w:r>
              <w:rPr>
                <w:sz w:val="17"/>
                <w:szCs w:val="17"/>
              </w:rPr>
              <w:t xml:space="preserve">Working-capital reserve</w:t>
            </w:r>
          </w:p>
        </w:tc>
        <w:tc>
          <w:tcPr>
            <w:tcW w:type="dxa" w:w="3120"/>
            <w:shd w:fill="EEF3F4" w:color="auto" w:val="clear"/>
            <w:tcMar>
              <w:top w:type="dxa" w:w="50"/>
              <w:left w:type="dxa" w:w="80"/>
              <w:bottom w:type="dxa" w:w="50"/>
              <w:right w:type="dxa" w:w="80"/>
            </w:tcMar>
          </w:tcPr>
          <w:p>
            <w:pPr>
              <w:spacing w:after="0"/>
              <w:jc w:val="right"/>
            </w:pPr>
            <w:r>
              <w:rPr>
                <w:sz w:val="17"/>
                <w:szCs w:val="17"/>
              </w:rPr>
              <w:t xml:space="preserve">$46,000</w:t>
            </w:r>
          </w:p>
        </w:tc>
        <w:tc>
          <w:tcPr>
            <w:tcW w:type="dxa" w:w="3120"/>
            <w:shd w:fill="EEF3F4" w:color="auto" w:val="clear"/>
            <w:tcMar>
              <w:top w:type="dxa" w:w="50"/>
              <w:left w:type="dxa" w:w="80"/>
              <w:bottom w:type="dxa" w:w="50"/>
              <w:right w:type="dxa" w:w="80"/>
            </w:tcMar>
          </w:tcPr>
          <w:p>
            <w:pPr>
              <w:spacing w:after="0"/>
              <w:jc w:val="right"/>
            </w:pPr>
            <w:r>
              <w:rPr>
                <w:sz w:val="17"/>
                <w:szCs w:val="17"/>
              </w:rPr>
              <w:t xml:space="preserve">operator</w:t>
            </w:r>
          </w:p>
        </w:tc>
      </w:tr>
      <w:tr>
        <w:tc>
          <w:tcPr>
            <w:tcW w:type="dxa" w:w="3120"/>
            <w:tcMar>
              <w:top w:type="dxa" w:w="50"/>
              <w:left w:type="dxa" w:w="80"/>
              <w:bottom w:type="dxa" w:w="50"/>
              <w:right w:type="dxa" w:w="80"/>
            </w:tcMar>
          </w:tcPr>
          <w:p>
            <w:pPr>
              <w:spacing w:after="0"/>
              <w:jc w:val="left"/>
            </w:pPr>
            <w:r>
              <w:rPr>
                <w:b/>
                <w:bCs/>
                <w:sz w:val="17"/>
                <w:szCs w:val="17"/>
              </w:rPr>
              <w:t xml:space="preserve">Total startup requirement</w:t>
            </w:r>
          </w:p>
        </w:tc>
        <w:tc>
          <w:tcPr>
            <w:tcW w:type="dxa" w:w="3120"/>
            <w:tcMar>
              <w:top w:type="dxa" w:w="50"/>
              <w:left w:type="dxa" w:w="80"/>
              <w:bottom w:type="dxa" w:w="50"/>
              <w:right w:type="dxa" w:w="80"/>
            </w:tcMar>
          </w:tcPr>
          <w:p>
            <w:pPr>
              <w:spacing w:after="0"/>
              <w:jc w:val="right"/>
            </w:pPr>
            <w:r>
              <w:rPr>
                <w:b/>
                <w:bCs/>
                <w:sz w:val="17"/>
                <w:szCs w:val="17"/>
              </w:rPr>
              <w:t xml:space="preserve">$320,800</w:t>
            </w:r>
          </w:p>
        </w:tc>
        <w:tc>
          <w:tcPr>
            <w:tcW w:type="dxa" w:w="3120"/>
            <w:tcMar>
              <w:top w:type="dxa" w:w="50"/>
              <w:left w:type="dxa" w:w="80"/>
              <w:bottom w:type="dxa" w:w="50"/>
              <w:right w:type="dxa" w:w="80"/>
            </w:tcMar>
          </w:tcPr>
          <w:p>
            <w:pPr>
              <w:spacing w:after="0"/>
              <w:jc w:val="right"/>
            </w:pPr>
            <w:r>
              <w:rPr>
                <w:sz w:val="17"/>
                <w:szCs w:val="17"/>
              </w:rPr>
              <w:t xml:space="preserve"/>
            </w:r>
          </w:p>
        </w:tc>
      </w:tr>
    </w:tbl>
    <w:p>
      <w:pPr>
        <w:spacing w:after="140"/>
      </w:pPr>
      <w:r>
        <w:t xml:space="preserve"/>
      </w:r>
    </w:p>
    <w:p>
      <w:pPr>
        <w:spacing w:after="90"/>
      </w:pPr>
      <w:r>
        <w:t xml:space="preserve"/>
      </w:r>
    </w:p>
    <w:p>
      <w:pPr>
        <w:pStyle w:val="Heading2"/>
        <w:spacing w:after="110" w:before="240"/>
      </w:pPr>
      <w:r>
        <w:t xml:space="preserve">Fixed Monthly Costs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tblHeader/>
        </w:trPr>
        <w:tc>
          <w:tcPr>
            <w:tcW w:type="dxa" w:w="4680"/>
            <w:shd w:fill="0F4C5C" w:color="auto" w:val="clear"/>
            <w:tcMar>
              <w:top w:type="dxa" w:w="50"/>
              <w:left w:type="dxa" w:w="80"/>
              <w:bottom w:type="dxa" w:w="50"/>
              <w:right w:type="dxa" w:w="80"/>
            </w:tcMar>
          </w:tcPr>
          <w:p>
            <w:pPr>
              <w:spacing w:after="0"/>
              <w:jc w:val="left"/>
            </w:pPr>
            <w:r>
              <w:rPr>
                <w:b/>
                <w:bCs/>
                <w:color w:val="FFFFFF"/>
                <w:sz w:val="17"/>
                <w:szCs w:val="17"/>
              </w:rPr>
              <w:t xml:space="preserve">Fixed monthly cost</w:t>
            </w:r>
          </w:p>
        </w:tc>
        <w:tc>
          <w:tcPr>
            <w:tcW w:type="dxa" w:w="4680"/>
            <w:shd w:fill="0F4C5C" w:color="auto" w:val="clear"/>
            <w:tcMar>
              <w:top w:type="dxa" w:w="50"/>
              <w:left w:type="dxa" w:w="80"/>
              <w:bottom w:type="dxa" w:w="50"/>
              <w:right w:type="dxa" w:w="80"/>
            </w:tcMar>
          </w:tcPr>
          <w:p>
            <w:pPr>
              <w:spacing w:after="0"/>
              <w:jc w:val="right"/>
            </w:pPr>
            <w:r>
              <w:rPr>
                <w:b/>
                <w:bCs/>
                <w:color w:val="FFFFFF"/>
                <w:sz w:val="17"/>
                <w:szCs w:val="17"/>
              </w:rPr>
              <w:t xml:space="preserve">Amount</w:t>
            </w:r>
          </w:p>
        </w:tc>
      </w:tr>
      <w:tr>
        <w:tc>
          <w:tcPr>
            <w:tcW w:type="dxa" w:w="4680"/>
            <w:tcMar>
              <w:top w:type="dxa" w:w="50"/>
              <w:left w:type="dxa" w:w="80"/>
              <w:bottom w:type="dxa" w:w="50"/>
              <w:right w:type="dxa" w:w="80"/>
            </w:tcMar>
          </w:tcPr>
          <w:p>
            <w:pPr>
              <w:spacing w:after="0"/>
              <w:jc w:val="left"/>
            </w:pPr>
            <w:r>
              <w:rPr>
                <w:sz w:val="17"/>
                <w:szCs w:val="17"/>
              </w:rPr>
              <w:t xml:space="preserve">Rent</w:t>
            </w:r>
          </w:p>
        </w:tc>
        <w:tc>
          <w:tcPr>
            <w:tcW w:type="dxa" w:w="4680"/>
            <w:tcMar>
              <w:top w:type="dxa" w:w="50"/>
              <w:left w:type="dxa" w:w="80"/>
              <w:bottom w:type="dxa" w:w="50"/>
              <w:right w:type="dxa" w:w="80"/>
            </w:tcMar>
          </w:tcPr>
          <w:p>
            <w:pPr>
              <w:spacing w:after="0"/>
              <w:jc w:val="right"/>
            </w:pPr>
            <w:r>
              <w:rPr>
                <w:sz w:val="17"/>
                <w:szCs w:val="17"/>
              </w:rPr>
              <w:t xml:space="preserve">$650</w:t>
            </w:r>
          </w:p>
        </w:tc>
      </w:tr>
      <w:tr>
        <w:tc>
          <w:tcPr>
            <w:tcW w:type="dxa" w:w="4680"/>
            <w:shd w:fill="EEF3F4" w:color="auto" w:val="clear"/>
            <w:tcMar>
              <w:top w:type="dxa" w:w="50"/>
              <w:left w:type="dxa" w:w="80"/>
              <w:bottom w:type="dxa" w:w="50"/>
              <w:right w:type="dxa" w:w="80"/>
            </w:tcMar>
          </w:tcPr>
          <w:p>
            <w:pPr>
              <w:spacing w:after="0"/>
              <w:jc w:val="left"/>
            </w:pPr>
            <w:r>
              <w:rPr>
                <w:sz w:val="17"/>
                <w:szCs w:val="17"/>
              </w:rPr>
              <w:t xml:space="preserve">payroll</w:t>
            </w:r>
          </w:p>
        </w:tc>
        <w:tc>
          <w:tcPr>
            <w:tcW w:type="dxa" w:w="4680"/>
            <w:shd w:fill="EEF3F4" w:color="auto" w:val="clear"/>
            <w:tcMar>
              <w:top w:type="dxa" w:w="50"/>
              <w:left w:type="dxa" w:w="80"/>
              <w:bottom w:type="dxa" w:w="50"/>
              <w:right w:type="dxa" w:w="80"/>
            </w:tcMar>
          </w:tcPr>
          <w:p>
            <w:pPr>
              <w:spacing w:after="0"/>
              <w:jc w:val="right"/>
            </w:pPr>
            <w:r>
              <w:rPr>
                <w:sz w:val="17"/>
                <w:szCs w:val="17"/>
              </w:rPr>
              <w:t xml:space="preserve">$13,000</w:t>
            </w:r>
          </w:p>
        </w:tc>
      </w:tr>
      <w:tr>
        <w:tc>
          <w:tcPr>
            <w:tcW w:type="dxa" w:w="4680"/>
            <w:tcMar>
              <w:top w:type="dxa" w:w="50"/>
              <w:left w:type="dxa" w:w="80"/>
              <w:bottom w:type="dxa" w:w="50"/>
              <w:right w:type="dxa" w:w="80"/>
            </w:tcMar>
          </w:tcPr>
          <w:p>
            <w:pPr>
              <w:spacing w:after="0"/>
              <w:jc w:val="left"/>
            </w:pPr>
            <w:r>
              <w:rPr>
                <w:sz w:val="17"/>
                <w:szCs w:val="17"/>
              </w:rPr>
              <w:t xml:space="preserve">owner draw</w:t>
            </w:r>
          </w:p>
        </w:tc>
        <w:tc>
          <w:tcPr>
            <w:tcW w:type="dxa" w:w="4680"/>
            <w:tcMar>
              <w:top w:type="dxa" w:w="50"/>
              <w:left w:type="dxa" w:w="80"/>
              <w:bottom w:type="dxa" w:w="50"/>
              <w:right w:type="dxa" w:w="80"/>
            </w:tcMar>
          </w:tcPr>
          <w:p>
            <w:pPr>
              <w:spacing w:after="0"/>
              <w:jc w:val="right"/>
            </w:pPr>
            <w:r>
              <w:rPr>
                <w:sz w:val="17"/>
                <w:szCs w:val="17"/>
              </w:rPr>
              <w:t xml:space="preserve">$5,400</w:t>
            </w:r>
          </w:p>
        </w:tc>
      </w:tr>
      <w:tr>
        <w:tc>
          <w:tcPr>
            <w:tcW w:type="dxa" w:w="4680"/>
            <w:shd w:fill="EEF3F4" w:color="auto" w:val="clear"/>
            <w:tcMar>
              <w:top w:type="dxa" w:w="50"/>
              <w:left w:type="dxa" w:w="80"/>
              <w:bottom w:type="dxa" w:w="50"/>
              <w:right w:type="dxa" w:w="80"/>
            </w:tcMar>
          </w:tcPr>
          <w:p>
            <w:pPr>
              <w:spacing w:after="0"/>
              <w:jc w:val="left"/>
            </w:pPr>
            <w:r>
              <w:rPr>
                <w:sz w:val="17"/>
                <w:szCs w:val="17"/>
              </w:rPr>
              <w:t xml:space="preserve">utilities</w:t>
            </w:r>
          </w:p>
        </w:tc>
        <w:tc>
          <w:tcPr>
            <w:tcW w:type="dxa" w:w="4680"/>
            <w:shd w:fill="EEF3F4" w:color="auto" w:val="clear"/>
            <w:tcMar>
              <w:top w:type="dxa" w:w="50"/>
              <w:left w:type="dxa" w:w="80"/>
              <w:bottom w:type="dxa" w:w="50"/>
              <w:right w:type="dxa" w:w="80"/>
            </w:tcMar>
          </w:tcPr>
          <w:p>
            <w:pPr>
              <w:spacing w:after="0"/>
              <w:jc w:val="right"/>
            </w:pPr>
            <w:r>
              <w:rPr>
                <w:sz w:val="17"/>
                <w:szCs w:val="17"/>
              </w:rPr>
              <w:t xml:space="preserve">$210</w:t>
            </w:r>
          </w:p>
        </w:tc>
      </w:tr>
      <w:tr>
        <w:tc>
          <w:tcPr>
            <w:tcW w:type="dxa" w:w="4680"/>
            <w:tcMar>
              <w:top w:type="dxa" w:w="50"/>
              <w:left w:type="dxa" w:w="80"/>
              <w:bottom w:type="dxa" w:w="50"/>
              <w:right w:type="dxa" w:w="80"/>
            </w:tcMar>
          </w:tcPr>
          <w:p>
            <w:pPr>
              <w:spacing w:after="0"/>
              <w:jc w:val="left"/>
            </w:pPr>
            <w:r>
              <w:rPr>
                <w:sz w:val="17"/>
                <w:szCs w:val="17"/>
              </w:rPr>
              <w:t xml:space="preserve">insurance</w:t>
            </w:r>
          </w:p>
        </w:tc>
        <w:tc>
          <w:tcPr>
            <w:tcW w:type="dxa" w:w="4680"/>
            <w:tcMar>
              <w:top w:type="dxa" w:w="50"/>
              <w:left w:type="dxa" w:w="80"/>
              <w:bottom w:type="dxa" w:w="50"/>
              <w:right w:type="dxa" w:w="80"/>
            </w:tcMar>
          </w:tcPr>
          <w:p>
            <w:pPr>
              <w:spacing w:after="0"/>
              <w:jc w:val="right"/>
            </w:pPr>
            <w:r>
              <w:rPr>
                <w:sz w:val="17"/>
                <w:szCs w:val="17"/>
              </w:rPr>
              <w:t xml:space="preserve">$4,350</w:t>
            </w:r>
          </w:p>
        </w:tc>
      </w:tr>
      <w:tr>
        <w:tc>
          <w:tcPr>
            <w:tcW w:type="dxa" w:w="4680"/>
            <w:shd w:fill="EEF3F4" w:color="auto" w:val="clear"/>
            <w:tcMar>
              <w:top w:type="dxa" w:w="50"/>
              <w:left w:type="dxa" w:w="80"/>
              <w:bottom w:type="dxa" w:w="50"/>
              <w:right w:type="dxa" w:w="80"/>
            </w:tcMar>
          </w:tcPr>
          <w:p>
            <w:pPr>
              <w:spacing w:after="0"/>
              <w:jc w:val="left"/>
            </w:pPr>
            <w:r>
              <w:rPr>
                <w:sz w:val="17"/>
                <w:szCs w:val="17"/>
              </w:rPr>
              <w:t xml:space="preserve">marketing</w:t>
            </w:r>
          </w:p>
        </w:tc>
        <w:tc>
          <w:tcPr>
            <w:tcW w:type="dxa" w:w="4680"/>
            <w:shd w:fill="EEF3F4" w:color="auto" w:val="clear"/>
            <w:tcMar>
              <w:top w:type="dxa" w:w="50"/>
              <w:left w:type="dxa" w:w="80"/>
              <w:bottom w:type="dxa" w:w="50"/>
              <w:right w:type="dxa" w:w="80"/>
            </w:tcMar>
          </w:tcPr>
          <w:p>
            <w:pPr>
              <w:spacing w:after="0"/>
              <w:jc w:val="right"/>
            </w:pPr>
            <w:r>
              <w:rPr>
                <w:sz w:val="17"/>
                <w:szCs w:val="17"/>
              </w:rPr>
              <w:t xml:space="preserve">$150</w:t>
            </w:r>
          </w:p>
        </w:tc>
      </w:tr>
      <w:tr>
        <w:tc>
          <w:tcPr>
            <w:tcW w:type="dxa" w:w="4680"/>
            <w:tcMar>
              <w:top w:type="dxa" w:w="50"/>
              <w:left w:type="dxa" w:w="80"/>
              <w:bottom w:type="dxa" w:w="50"/>
              <w:right w:type="dxa" w:w="80"/>
            </w:tcMar>
          </w:tcPr>
          <w:p>
            <w:pPr>
              <w:spacing w:after="0"/>
              <w:jc w:val="left"/>
            </w:pPr>
            <w:r>
              <w:rPr>
                <w:sz w:val="17"/>
                <w:szCs w:val="17"/>
              </w:rPr>
              <w:t xml:space="preserve">software</w:t>
            </w:r>
          </w:p>
        </w:tc>
        <w:tc>
          <w:tcPr>
            <w:tcW w:type="dxa" w:w="4680"/>
            <w:tcMar>
              <w:top w:type="dxa" w:w="50"/>
              <w:left w:type="dxa" w:w="80"/>
              <w:bottom w:type="dxa" w:w="50"/>
              <w:right w:type="dxa" w:w="80"/>
            </w:tcMar>
          </w:tcPr>
          <w:p>
            <w:pPr>
              <w:spacing w:after="0"/>
              <w:jc w:val="right"/>
            </w:pPr>
            <w:r>
              <w:rPr>
                <w:sz w:val="17"/>
                <w:szCs w:val="17"/>
              </w:rPr>
              <w:t xml:space="preserve">$480</w:t>
            </w:r>
          </w:p>
        </w:tc>
      </w:tr>
      <w:tr>
        <w:tc>
          <w:tcPr>
            <w:tcW w:type="dxa" w:w="4680"/>
            <w:shd w:fill="EEF3F4" w:color="auto" w:val="clear"/>
            <w:tcMar>
              <w:top w:type="dxa" w:w="50"/>
              <w:left w:type="dxa" w:w="80"/>
              <w:bottom w:type="dxa" w:w="50"/>
              <w:right w:type="dxa" w:w="80"/>
            </w:tcMar>
          </w:tcPr>
          <w:p>
            <w:pPr>
              <w:spacing w:after="0"/>
              <w:jc w:val="left"/>
            </w:pPr>
            <w:r>
              <w:rPr>
                <w:sz w:val="17"/>
                <w:szCs w:val="17"/>
              </w:rPr>
              <w:t xml:space="preserve">accounting</w:t>
            </w:r>
          </w:p>
        </w:tc>
        <w:tc>
          <w:tcPr>
            <w:tcW w:type="dxa" w:w="4680"/>
            <w:shd w:fill="EEF3F4" w:color="auto" w:val="clear"/>
            <w:tcMar>
              <w:top w:type="dxa" w:w="50"/>
              <w:left w:type="dxa" w:w="80"/>
              <w:bottom w:type="dxa" w:w="50"/>
              <w:right w:type="dxa" w:w="80"/>
            </w:tcMar>
          </w:tcPr>
          <w:p>
            <w:pPr>
              <w:spacing w:after="0"/>
              <w:jc w:val="right"/>
            </w:pPr>
            <w:r>
              <w:rPr>
                <w:sz w:val="17"/>
                <w:szCs w:val="17"/>
              </w:rPr>
              <w:t xml:space="preserve">$340</w:t>
            </w:r>
          </w:p>
        </w:tc>
      </w:tr>
      <w:tr>
        <w:tc>
          <w:tcPr>
            <w:tcW w:type="dxa" w:w="4680"/>
            <w:tcMar>
              <w:top w:type="dxa" w:w="50"/>
              <w:left w:type="dxa" w:w="80"/>
              <w:bottom w:type="dxa" w:w="50"/>
              <w:right w:type="dxa" w:w="80"/>
            </w:tcMar>
          </w:tcPr>
          <w:p>
            <w:pPr>
              <w:spacing w:after="0"/>
              <w:jc w:val="left"/>
            </w:pPr>
            <w:r>
              <w:rPr>
                <w:sz w:val="17"/>
                <w:szCs w:val="17"/>
              </w:rPr>
              <w:t xml:space="preserve">maintenance</w:t>
            </w:r>
          </w:p>
        </w:tc>
        <w:tc>
          <w:tcPr>
            <w:tcW w:type="dxa" w:w="4680"/>
            <w:tcMar>
              <w:top w:type="dxa" w:w="50"/>
              <w:left w:type="dxa" w:w="80"/>
              <w:bottom w:type="dxa" w:w="50"/>
              <w:right w:type="dxa" w:w="80"/>
            </w:tcMar>
          </w:tcPr>
          <w:p>
            <w:pPr>
              <w:spacing w:after="0"/>
              <w:jc w:val="right"/>
            </w:pPr>
            <w:r>
              <w:rPr>
                <w:sz w:val="17"/>
                <w:szCs w:val="17"/>
              </w:rPr>
              <w:t xml:space="preserve">$2,200</w:t>
            </w:r>
          </w:p>
        </w:tc>
      </w:tr>
      <w:tr>
        <w:tc>
          <w:tcPr>
            <w:tcW w:type="dxa" w:w="4680"/>
            <w:shd w:fill="EEF3F4" w:color="auto" w:val="clear"/>
            <w:tcMar>
              <w:top w:type="dxa" w:w="50"/>
              <w:left w:type="dxa" w:w="80"/>
              <w:bottom w:type="dxa" w:w="50"/>
              <w:right w:type="dxa" w:w="80"/>
            </w:tcMar>
          </w:tcPr>
          <w:p>
            <w:pPr>
              <w:spacing w:after="0"/>
              <w:jc w:val="left"/>
            </w:pPr>
            <w:r>
              <w:rPr>
                <w:sz w:val="17"/>
                <w:szCs w:val="17"/>
              </w:rPr>
              <w:t xml:space="preserve">supplies</w:t>
            </w:r>
          </w:p>
        </w:tc>
        <w:tc>
          <w:tcPr>
            <w:tcW w:type="dxa" w:w="4680"/>
            <w:shd w:fill="EEF3F4" w:color="auto" w:val="clear"/>
            <w:tcMar>
              <w:top w:type="dxa" w:w="50"/>
              <w:left w:type="dxa" w:w="80"/>
              <w:bottom w:type="dxa" w:w="50"/>
              <w:right w:type="dxa" w:w="80"/>
            </w:tcMar>
          </w:tcPr>
          <w:p>
            <w:pPr>
              <w:spacing w:after="0"/>
              <w:jc w:val="right"/>
            </w:pPr>
            <w:r>
              <w:rPr>
                <w:sz w:val="17"/>
                <w:szCs w:val="17"/>
              </w:rPr>
              <w:t xml:space="preserve">$380</w:t>
            </w:r>
          </w:p>
        </w:tc>
      </w:tr>
      <w:tr>
        <w:tc>
          <w:tcPr>
            <w:tcW w:type="dxa" w:w="4680"/>
            <w:tcMar>
              <w:top w:type="dxa" w:w="50"/>
              <w:left w:type="dxa" w:w="80"/>
              <w:bottom w:type="dxa" w:w="50"/>
              <w:right w:type="dxa" w:w="80"/>
            </w:tcMar>
          </w:tcPr>
          <w:p>
            <w:pPr>
              <w:spacing w:after="0"/>
              <w:jc w:val="left"/>
            </w:pPr>
            <w:r>
              <w:rPr>
                <w:sz w:val="17"/>
                <w:szCs w:val="17"/>
              </w:rPr>
              <w:t xml:space="preserve">vehicle</w:t>
            </w:r>
          </w:p>
        </w:tc>
        <w:tc>
          <w:tcPr>
            <w:tcW w:type="dxa" w:w="4680"/>
            <w:tcMar>
              <w:top w:type="dxa" w:w="50"/>
              <w:left w:type="dxa" w:w="80"/>
              <w:bottom w:type="dxa" w:w="50"/>
              <w:right w:type="dxa" w:w="80"/>
            </w:tcMar>
          </w:tcPr>
          <w:p>
            <w:pPr>
              <w:spacing w:after="0"/>
              <w:jc w:val="right"/>
            </w:pPr>
            <w:r>
              <w:rPr>
                <w:sz w:val="17"/>
                <w:szCs w:val="17"/>
              </w:rPr>
              <w:t xml:space="preserve">$1,250</w:t>
            </w:r>
          </w:p>
        </w:tc>
      </w:tr>
      <w:tr>
        <w:tc>
          <w:tcPr>
            <w:tcW w:type="dxa" w:w="4680"/>
            <w:shd w:fill="EEF3F4" w:color="auto" w:val="clear"/>
            <w:tcMar>
              <w:top w:type="dxa" w:w="50"/>
              <w:left w:type="dxa" w:w="80"/>
              <w:bottom w:type="dxa" w:w="50"/>
              <w:right w:type="dxa" w:w="80"/>
            </w:tcMar>
          </w:tcPr>
          <w:p>
            <w:pPr>
              <w:spacing w:after="0"/>
              <w:jc w:val="left"/>
            </w:pPr>
            <w:r>
              <w:rPr>
                <w:sz w:val="17"/>
                <w:szCs w:val="17"/>
              </w:rPr>
              <w:t xml:space="preserve">other</w:t>
            </w:r>
          </w:p>
        </w:tc>
        <w:tc>
          <w:tcPr>
            <w:tcW w:type="dxa" w:w="4680"/>
            <w:shd w:fill="EEF3F4" w:color="auto" w:val="clear"/>
            <w:tcMar>
              <w:top w:type="dxa" w:w="50"/>
              <w:left w:type="dxa" w:w="80"/>
              <w:bottom w:type="dxa" w:w="50"/>
              <w:right w:type="dxa" w:w="80"/>
            </w:tcMar>
          </w:tcPr>
          <w:p>
            <w:pPr>
              <w:spacing w:after="0"/>
              <w:jc w:val="right"/>
            </w:pPr>
            <w:r>
              <w:rPr>
                <w:sz w:val="17"/>
                <w:szCs w:val="17"/>
              </w:rPr>
              <w:t xml:space="preserve">$520</w:t>
            </w:r>
          </w:p>
        </w:tc>
      </w:tr>
      <w:tr>
        <w:tc>
          <w:tcPr>
            <w:tcW w:type="dxa" w:w="4680"/>
            <w:tcMar>
              <w:top w:type="dxa" w:w="50"/>
              <w:left w:type="dxa" w:w="80"/>
              <w:bottom w:type="dxa" w:w="50"/>
              <w:right w:type="dxa" w:w="80"/>
            </w:tcMar>
          </w:tcPr>
          <w:p>
            <w:pPr>
              <w:spacing w:after="0"/>
              <w:jc w:val="left"/>
            </w:pPr>
            <w:r>
              <w:rPr>
                <w:b/>
                <w:bCs/>
                <w:sz w:val="17"/>
                <w:szCs w:val="17"/>
              </w:rPr>
              <w:t xml:space="preserve">Total fixed monthly</w:t>
            </w:r>
          </w:p>
        </w:tc>
        <w:tc>
          <w:tcPr>
            <w:tcW w:type="dxa" w:w="4680"/>
            <w:tcMar>
              <w:top w:type="dxa" w:w="50"/>
              <w:left w:type="dxa" w:w="80"/>
              <w:bottom w:type="dxa" w:w="50"/>
              <w:right w:type="dxa" w:w="80"/>
            </w:tcMar>
          </w:tcPr>
          <w:p>
            <w:pPr>
              <w:spacing w:after="0"/>
              <w:jc w:val="right"/>
            </w:pPr>
            <w:r>
              <w:rPr>
                <w:b/>
                <w:bCs/>
                <w:sz w:val="17"/>
                <w:szCs w:val="17"/>
              </w:rPr>
              <w:t xml:space="preserve">$28,930</w:t>
            </w:r>
          </w:p>
        </w:tc>
      </w:tr>
    </w:tbl>
    <w:p>
      <w:pPr>
        <w:spacing w:after="140"/>
      </w:pPr>
      <w:r>
        <w:t xml:space="preserve"/>
      </w:r>
    </w:p>
    <w:p>
      <w:pPr>
        <w:spacing w:after="90"/>
      </w:pPr>
      <w:r>
        <w:t xml:space="preserve"/>
      </w:r>
    </w:p>
    <w:p>
      <w:pPr>
        <w:pStyle w:val="Heading2"/>
        <w:spacing w:after="110" w:before="240"/>
      </w:pPr>
      <w:r>
        <w:t xml:space="preserve">Monthly Profit and Loss — Year 1</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40"/>
        <w:gridCol w:w="1040"/>
        <w:gridCol w:w="1040"/>
        <w:gridCol w:w="1040"/>
        <w:gridCol w:w="1040"/>
        <w:gridCol w:w="1040"/>
        <w:gridCol w:w="1040"/>
        <w:gridCol w:w="1040"/>
        <w:gridCol w:w="1040"/>
      </w:tblGrid>
      <w:tr>
        <w:trPr>
          <w:tblHeader/>
        </w:trPr>
        <w:tc>
          <w:tcPr>
            <w:tcW w:type="dxa" w:w="1040"/>
            <w:shd w:fill="0F4C5C" w:color="auto" w:val="clear"/>
            <w:tcMar>
              <w:top w:type="dxa" w:w="50"/>
              <w:left w:type="dxa" w:w="80"/>
              <w:bottom w:type="dxa" w:w="50"/>
              <w:right w:type="dxa" w:w="80"/>
            </w:tcMar>
          </w:tcPr>
          <w:p>
            <w:pPr>
              <w:spacing w:after="0"/>
              <w:jc w:val="left"/>
            </w:pPr>
            <w:r>
              <w:rPr>
                <w:b/>
                <w:bCs/>
                <w:color w:val="FFFFFF"/>
                <w:sz w:val="17"/>
                <w:szCs w:val="17"/>
              </w:rPr>
              <w:t xml:space="preserve">Month</w:t>
            </w:r>
          </w:p>
        </w:tc>
        <w:tc>
          <w:tcPr>
            <w:tcW w:type="dxa" w:w="1040"/>
            <w:shd w:fill="0F4C5C" w:color="auto" w:val="clear"/>
            <w:tcMar>
              <w:top w:type="dxa" w:w="50"/>
              <w:left w:type="dxa" w:w="80"/>
              <w:bottom w:type="dxa" w:w="50"/>
              <w:right w:type="dxa" w:w="80"/>
            </w:tcMar>
          </w:tcPr>
          <w:p>
            <w:pPr>
              <w:spacing w:after="0"/>
              <w:jc w:val="right"/>
            </w:pPr>
            <w:r>
              <w:rPr>
                <w:b/>
                <w:bCs/>
                <w:color w:val="FFFFFF"/>
                <w:sz w:val="17"/>
                <w:szCs w:val="17"/>
              </w:rPr>
              <w:t xml:space="preserve">Units</w:t>
            </w:r>
          </w:p>
        </w:tc>
        <w:tc>
          <w:tcPr>
            <w:tcW w:type="dxa" w:w="1040"/>
            <w:shd w:fill="0F4C5C" w:color="auto" w:val="clear"/>
            <w:tcMar>
              <w:top w:type="dxa" w:w="50"/>
              <w:left w:type="dxa" w:w="80"/>
              <w:bottom w:type="dxa" w:w="50"/>
              <w:right w:type="dxa" w:w="80"/>
            </w:tcMar>
          </w:tcPr>
          <w:p>
            <w:pPr>
              <w:spacing w:after="0"/>
              <w:jc w:val="right"/>
            </w:pPr>
            <w:r>
              <w:rPr>
                <w:b/>
                <w:bCs/>
                <w:color w:val="FFFFFF"/>
                <w:sz w:val="17"/>
                <w:szCs w:val="17"/>
              </w:rPr>
              <w:t xml:space="preserve">Revenue</w:t>
            </w:r>
          </w:p>
        </w:tc>
        <w:tc>
          <w:tcPr>
            <w:tcW w:type="dxa" w:w="1040"/>
            <w:shd w:fill="0F4C5C" w:color="auto" w:val="clear"/>
            <w:tcMar>
              <w:top w:type="dxa" w:w="50"/>
              <w:left w:type="dxa" w:w="80"/>
              <w:bottom w:type="dxa" w:w="50"/>
              <w:right w:type="dxa" w:w="80"/>
            </w:tcMar>
          </w:tcPr>
          <w:p>
            <w:pPr>
              <w:spacing w:after="0"/>
              <w:jc w:val="right"/>
            </w:pPr>
            <w:r>
              <w:rPr>
                <w:b/>
                <w:bCs/>
                <w:color w:val="FFFFFF"/>
                <w:sz w:val="17"/>
                <w:szCs w:val="17"/>
              </w:rPr>
              <w:t xml:space="preserve">COGS</w:t>
            </w:r>
          </w:p>
        </w:tc>
        <w:tc>
          <w:tcPr>
            <w:tcW w:type="dxa" w:w="1040"/>
            <w:shd w:fill="0F4C5C" w:color="auto" w:val="clear"/>
            <w:tcMar>
              <w:top w:type="dxa" w:w="50"/>
              <w:left w:type="dxa" w:w="80"/>
              <w:bottom w:type="dxa" w:w="50"/>
              <w:right w:type="dxa" w:w="80"/>
            </w:tcMar>
          </w:tcPr>
          <w:p>
            <w:pPr>
              <w:spacing w:after="0"/>
              <w:jc w:val="right"/>
            </w:pPr>
            <w:r>
              <w:rPr>
                <w:b/>
                <w:bCs/>
                <w:color w:val="FFFFFF"/>
                <w:sz w:val="17"/>
                <w:szCs w:val="17"/>
              </w:rPr>
              <w:t xml:space="preserve">Gross</w:t>
            </w:r>
          </w:p>
        </w:tc>
        <w:tc>
          <w:tcPr>
            <w:tcW w:type="dxa" w:w="1040"/>
            <w:shd w:fill="0F4C5C" w:color="auto" w:val="clear"/>
            <w:tcMar>
              <w:top w:type="dxa" w:w="50"/>
              <w:left w:type="dxa" w:w="80"/>
              <w:bottom w:type="dxa" w:w="50"/>
              <w:right w:type="dxa" w:w="80"/>
            </w:tcMar>
          </w:tcPr>
          <w:p>
            <w:pPr>
              <w:spacing w:after="0"/>
              <w:jc w:val="right"/>
            </w:pPr>
            <w:r>
              <w:rPr>
                <w:b/>
                <w:bCs/>
                <w:color w:val="FFFFFF"/>
                <w:sz w:val="17"/>
                <w:szCs w:val="17"/>
              </w:rPr>
              <w:t xml:space="preserve">Fixed</w:t>
            </w:r>
          </w:p>
        </w:tc>
        <w:tc>
          <w:tcPr>
            <w:tcW w:type="dxa" w:w="1040"/>
            <w:shd w:fill="0F4C5C" w:color="auto" w:val="clear"/>
            <w:tcMar>
              <w:top w:type="dxa" w:w="50"/>
              <w:left w:type="dxa" w:w="80"/>
              <w:bottom w:type="dxa" w:w="50"/>
              <w:right w:type="dxa" w:w="80"/>
            </w:tcMar>
          </w:tcPr>
          <w:p>
            <w:pPr>
              <w:spacing w:after="0"/>
              <w:jc w:val="right"/>
            </w:pPr>
            <w:r>
              <w:rPr>
                <w:b/>
                <w:bCs/>
                <w:color w:val="FFFFFF"/>
                <w:sz w:val="17"/>
                <w:szCs w:val="17"/>
              </w:rPr>
              <w:t xml:space="preserve">EBITDA</w:t>
            </w:r>
          </w:p>
        </w:tc>
        <w:tc>
          <w:tcPr>
            <w:tcW w:type="dxa" w:w="1040"/>
            <w:shd w:fill="0F4C5C" w:color="auto" w:val="clear"/>
            <w:tcMar>
              <w:top w:type="dxa" w:w="50"/>
              <w:left w:type="dxa" w:w="80"/>
              <w:bottom w:type="dxa" w:w="50"/>
              <w:right w:type="dxa" w:w="80"/>
            </w:tcMar>
          </w:tcPr>
          <w:p>
            <w:pPr>
              <w:spacing w:after="0"/>
              <w:jc w:val="right"/>
            </w:pPr>
            <w:r>
              <w:rPr>
                <w:b/>
                <w:bCs/>
                <w:color w:val="FFFFFF"/>
                <w:sz w:val="17"/>
                <w:szCs w:val="17"/>
              </w:rPr>
              <w:t xml:space="preserve">Debt service</w:t>
            </w:r>
          </w:p>
        </w:tc>
        <w:tc>
          <w:tcPr>
            <w:tcW w:type="dxa" w:w="1040"/>
            <w:shd w:fill="0F4C5C" w:color="auto" w:val="clear"/>
            <w:tcMar>
              <w:top w:type="dxa" w:w="50"/>
              <w:left w:type="dxa" w:w="80"/>
              <w:bottom w:type="dxa" w:w="50"/>
              <w:right w:type="dxa" w:w="80"/>
            </w:tcMar>
          </w:tcPr>
          <w:p>
            <w:pPr>
              <w:spacing w:after="0"/>
              <w:jc w:val="right"/>
            </w:pPr>
            <w:r>
              <w:rPr>
                <w:b/>
                <w:bCs/>
                <w:color w:val="FFFFFF"/>
                <w:sz w:val="17"/>
                <w:szCs w:val="17"/>
              </w:rPr>
              <w:t xml:space="preserve">Net</w:t>
            </w:r>
          </w:p>
        </w:tc>
      </w:tr>
      <w:tr>
        <w:tc>
          <w:tcPr>
            <w:tcW w:type="dxa" w:w="1040"/>
            <w:tcMar>
              <w:top w:type="dxa" w:w="50"/>
              <w:left w:type="dxa" w:w="80"/>
              <w:bottom w:type="dxa" w:w="50"/>
              <w:right w:type="dxa" w:w="80"/>
            </w:tcMar>
          </w:tcPr>
          <w:p>
            <w:pPr>
              <w:spacing w:after="0"/>
              <w:jc w:val="left"/>
            </w:pPr>
            <w:r>
              <w:rPr>
                <w:sz w:val="17"/>
                <w:szCs w:val="17"/>
              </w:rPr>
              <w:t xml:space="preserve">1</w:t>
            </w:r>
          </w:p>
        </w:tc>
        <w:tc>
          <w:tcPr>
            <w:tcW w:type="dxa" w:w="1040"/>
            <w:tcMar>
              <w:top w:type="dxa" w:w="50"/>
              <w:left w:type="dxa" w:w="80"/>
              <w:bottom w:type="dxa" w:w="50"/>
              <w:right w:type="dxa" w:w="80"/>
            </w:tcMar>
          </w:tcPr>
          <w:p>
            <w:pPr>
              <w:spacing w:after="0"/>
              <w:jc w:val="right"/>
            </w:pPr>
            <w:r>
              <w:rPr>
                <w:sz w:val="17"/>
                <w:szCs w:val="17"/>
              </w:rPr>
              <w:t xml:space="preserve">9,558</w:t>
            </w:r>
          </w:p>
        </w:tc>
        <w:tc>
          <w:tcPr>
            <w:tcW w:type="dxa" w:w="1040"/>
            <w:tcMar>
              <w:top w:type="dxa" w:w="50"/>
              <w:left w:type="dxa" w:w="80"/>
              <w:bottom w:type="dxa" w:w="50"/>
              <w:right w:type="dxa" w:w="80"/>
            </w:tcMar>
          </w:tcPr>
          <w:p>
            <w:pPr>
              <w:spacing w:after="0"/>
              <w:jc w:val="right"/>
            </w:pPr>
            <w:r>
              <w:rPr>
                <w:sz w:val="17"/>
                <w:szCs w:val="17"/>
              </w:rPr>
              <w:t xml:space="preserve">$23,704</w:t>
            </w:r>
          </w:p>
        </w:tc>
        <w:tc>
          <w:tcPr>
            <w:tcW w:type="dxa" w:w="1040"/>
            <w:tcMar>
              <w:top w:type="dxa" w:w="50"/>
              <w:left w:type="dxa" w:w="80"/>
              <w:bottom w:type="dxa" w:w="50"/>
              <w:right w:type="dxa" w:w="80"/>
            </w:tcMar>
          </w:tcPr>
          <w:p>
            <w:pPr>
              <w:spacing w:after="0"/>
              <w:jc w:val="right"/>
            </w:pPr>
            <w:r>
              <w:rPr>
                <w:sz w:val="17"/>
                <w:szCs w:val="17"/>
              </w:rPr>
              <w:t xml:space="preserve">$6,786</w:t>
            </w:r>
          </w:p>
        </w:tc>
        <w:tc>
          <w:tcPr>
            <w:tcW w:type="dxa" w:w="1040"/>
            <w:tcMar>
              <w:top w:type="dxa" w:w="50"/>
              <w:left w:type="dxa" w:w="80"/>
              <w:bottom w:type="dxa" w:w="50"/>
              <w:right w:type="dxa" w:w="80"/>
            </w:tcMar>
          </w:tcPr>
          <w:p>
            <w:pPr>
              <w:spacing w:after="0"/>
              <w:jc w:val="right"/>
            </w:pPr>
            <w:r>
              <w:rPr>
                <w:sz w:val="17"/>
                <w:szCs w:val="17"/>
              </w:rPr>
              <w:t xml:space="preserve">$16,918</w:t>
            </w:r>
          </w:p>
        </w:tc>
        <w:tc>
          <w:tcPr>
            <w:tcW w:type="dxa" w:w="1040"/>
            <w:tcMar>
              <w:top w:type="dxa" w:w="50"/>
              <w:left w:type="dxa" w:w="80"/>
              <w:bottom w:type="dxa" w:w="50"/>
              <w:right w:type="dxa" w:w="80"/>
            </w:tcMar>
          </w:tcPr>
          <w:p>
            <w:pPr>
              <w:spacing w:after="0"/>
              <w:jc w:val="right"/>
            </w:pPr>
            <w:r>
              <w:rPr>
                <w:sz w:val="17"/>
                <w:szCs w:val="17"/>
              </w:rPr>
              <w:t xml:space="preserve">$28,930</w:t>
            </w:r>
          </w:p>
        </w:tc>
        <w:tc>
          <w:tcPr>
            <w:tcW w:type="dxa" w:w="1040"/>
            <w:tcMar>
              <w:top w:type="dxa" w:w="50"/>
              <w:left w:type="dxa" w:w="80"/>
              <w:bottom w:type="dxa" w:w="50"/>
              <w:right w:type="dxa" w:w="80"/>
            </w:tcMar>
          </w:tcPr>
          <w:p>
            <w:pPr>
              <w:spacing w:after="0"/>
              <w:jc w:val="right"/>
            </w:pPr>
            <w:r>
              <w:rPr>
                <w:sz w:val="17"/>
                <w:szCs w:val="17"/>
              </w:rPr>
              <w:t xml:space="preserve">$-12,012</w:t>
            </w:r>
          </w:p>
        </w:tc>
        <w:tc>
          <w:tcPr>
            <w:tcW w:type="dxa" w:w="1040"/>
            <w:tcMar>
              <w:top w:type="dxa" w:w="50"/>
              <w:left w:type="dxa" w:w="80"/>
              <w:bottom w:type="dxa" w:w="50"/>
              <w:right w:type="dxa" w:w="80"/>
            </w:tcMar>
          </w:tcPr>
          <w:p>
            <w:pPr>
              <w:spacing w:after="0"/>
              <w:jc w:val="right"/>
            </w:pPr>
            <w:r>
              <w:rPr>
                <w:sz w:val="17"/>
                <w:szCs w:val="17"/>
              </w:rPr>
              <w:t xml:space="preserve">$4,312</w:t>
            </w:r>
          </w:p>
        </w:tc>
        <w:tc>
          <w:tcPr>
            <w:tcW w:type="dxa" w:w="1040"/>
            <w:tcMar>
              <w:top w:type="dxa" w:w="50"/>
              <w:left w:type="dxa" w:w="80"/>
              <w:bottom w:type="dxa" w:w="50"/>
              <w:right w:type="dxa" w:w="80"/>
            </w:tcMar>
          </w:tcPr>
          <w:p>
            <w:pPr>
              <w:spacing w:after="0"/>
              <w:jc w:val="right"/>
            </w:pPr>
            <w:r>
              <w:rPr>
                <w:sz w:val="17"/>
                <w:szCs w:val="17"/>
              </w:rPr>
              <w:t xml:space="preserve">$-16,324</w:t>
            </w:r>
          </w:p>
        </w:tc>
      </w:tr>
      <w:tr>
        <w:tc>
          <w:tcPr>
            <w:tcW w:type="dxa" w:w="1040"/>
            <w:shd w:fill="EEF3F4" w:color="auto" w:val="clear"/>
            <w:tcMar>
              <w:top w:type="dxa" w:w="50"/>
              <w:left w:type="dxa" w:w="80"/>
              <w:bottom w:type="dxa" w:w="50"/>
              <w:right w:type="dxa" w:w="80"/>
            </w:tcMar>
          </w:tcPr>
          <w:p>
            <w:pPr>
              <w:spacing w:after="0"/>
              <w:jc w:val="left"/>
            </w:pPr>
            <w:r>
              <w:rPr>
                <w:sz w:val="17"/>
                <w:szCs w:val="17"/>
              </w:rPr>
              <w:t xml:space="preserve">2</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11,913</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$29,544</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$8,458</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$21,086</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$28,930</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$-7,844</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$4,312</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$-12,156</w:t>
            </w:r>
          </w:p>
        </w:tc>
      </w:tr>
      <w:tr>
        <w:tc>
          <w:tcPr>
            <w:tcW w:type="dxa" w:w="1040"/>
            <w:tcMar>
              <w:top w:type="dxa" w:w="50"/>
              <w:left w:type="dxa" w:w="80"/>
              <w:bottom w:type="dxa" w:w="50"/>
              <w:right w:type="dxa" w:w="80"/>
            </w:tcMar>
          </w:tcPr>
          <w:p>
            <w:pPr>
              <w:spacing w:after="0"/>
              <w:jc w:val="left"/>
            </w:pPr>
            <w:r>
              <w:rPr>
                <w:sz w:val="17"/>
                <w:szCs w:val="17"/>
              </w:rPr>
              <w:t xml:space="preserve">3</w:t>
            </w:r>
          </w:p>
        </w:tc>
        <w:tc>
          <w:tcPr>
            <w:tcW w:type="dxa" w:w="1040"/>
            <w:tcMar>
              <w:top w:type="dxa" w:w="50"/>
              <w:left w:type="dxa" w:w="80"/>
              <w:bottom w:type="dxa" w:w="50"/>
              <w:right w:type="dxa" w:w="80"/>
            </w:tcMar>
          </w:tcPr>
          <w:p>
            <w:pPr>
              <w:spacing w:after="0"/>
              <w:jc w:val="right"/>
            </w:pPr>
            <w:r>
              <w:rPr>
                <w:sz w:val="17"/>
                <w:szCs w:val="17"/>
              </w:rPr>
              <w:t xml:space="preserve">14,715</w:t>
            </w:r>
          </w:p>
        </w:tc>
        <w:tc>
          <w:tcPr>
            <w:tcW w:type="dxa" w:w="1040"/>
            <w:tcMar>
              <w:top w:type="dxa" w:w="50"/>
              <w:left w:type="dxa" w:w="80"/>
              <w:bottom w:type="dxa" w:w="50"/>
              <w:right w:type="dxa" w:w="80"/>
            </w:tcMar>
          </w:tcPr>
          <w:p>
            <w:pPr>
              <w:spacing w:after="0"/>
              <w:jc w:val="right"/>
            </w:pPr>
            <w:r>
              <w:rPr>
                <w:sz w:val="17"/>
                <w:szCs w:val="17"/>
              </w:rPr>
              <w:t xml:space="preserve">$36,493</w:t>
            </w:r>
          </w:p>
        </w:tc>
        <w:tc>
          <w:tcPr>
            <w:tcW w:type="dxa" w:w="1040"/>
            <w:tcMar>
              <w:top w:type="dxa" w:w="50"/>
              <w:left w:type="dxa" w:w="80"/>
              <w:bottom w:type="dxa" w:w="50"/>
              <w:right w:type="dxa" w:w="80"/>
            </w:tcMar>
          </w:tcPr>
          <w:p>
            <w:pPr>
              <w:spacing w:after="0"/>
              <w:jc w:val="right"/>
            </w:pPr>
            <w:r>
              <w:rPr>
                <w:sz w:val="17"/>
                <w:szCs w:val="17"/>
              </w:rPr>
              <w:t xml:space="preserve">$10,448</w:t>
            </w:r>
          </w:p>
        </w:tc>
        <w:tc>
          <w:tcPr>
            <w:tcW w:type="dxa" w:w="1040"/>
            <w:tcMar>
              <w:top w:type="dxa" w:w="50"/>
              <w:left w:type="dxa" w:w="80"/>
              <w:bottom w:type="dxa" w:w="50"/>
              <w:right w:type="dxa" w:w="80"/>
            </w:tcMar>
          </w:tcPr>
          <w:p>
            <w:pPr>
              <w:spacing w:after="0"/>
              <w:jc w:val="right"/>
            </w:pPr>
            <w:r>
              <w:rPr>
                <w:sz w:val="17"/>
                <w:szCs w:val="17"/>
              </w:rPr>
              <w:t xml:space="preserve">$26,046</w:t>
            </w:r>
          </w:p>
        </w:tc>
        <w:tc>
          <w:tcPr>
            <w:tcW w:type="dxa" w:w="1040"/>
            <w:tcMar>
              <w:top w:type="dxa" w:w="50"/>
              <w:left w:type="dxa" w:w="80"/>
              <w:bottom w:type="dxa" w:w="50"/>
              <w:right w:type="dxa" w:w="80"/>
            </w:tcMar>
          </w:tcPr>
          <w:p>
            <w:pPr>
              <w:spacing w:after="0"/>
              <w:jc w:val="right"/>
            </w:pPr>
            <w:r>
              <w:rPr>
                <w:sz w:val="17"/>
                <w:szCs w:val="17"/>
              </w:rPr>
              <w:t xml:space="preserve">$28,930</w:t>
            </w:r>
          </w:p>
        </w:tc>
        <w:tc>
          <w:tcPr>
            <w:tcW w:type="dxa" w:w="1040"/>
            <w:tcMar>
              <w:top w:type="dxa" w:w="50"/>
              <w:left w:type="dxa" w:w="80"/>
              <w:bottom w:type="dxa" w:w="50"/>
              <w:right w:type="dxa" w:w="80"/>
            </w:tcMar>
          </w:tcPr>
          <w:p>
            <w:pPr>
              <w:spacing w:after="0"/>
              <w:jc w:val="right"/>
            </w:pPr>
            <w:r>
              <w:rPr>
                <w:sz w:val="17"/>
                <w:szCs w:val="17"/>
              </w:rPr>
              <w:t xml:space="preserve">$-2,884</w:t>
            </w:r>
          </w:p>
        </w:tc>
        <w:tc>
          <w:tcPr>
            <w:tcW w:type="dxa" w:w="1040"/>
            <w:tcMar>
              <w:top w:type="dxa" w:w="50"/>
              <w:left w:type="dxa" w:w="80"/>
              <w:bottom w:type="dxa" w:w="50"/>
              <w:right w:type="dxa" w:w="80"/>
            </w:tcMar>
          </w:tcPr>
          <w:p>
            <w:pPr>
              <w:spacing w:after="0"/>
              <w:jc w:val="right"/>
            </w:pPr>
            <w:r>
              <w:rPr>
                <w:sz w:val="17"/>
                <w:szCs w:val="17"/>
              </w:rPr>
              <w:t xml:space="preserve">$4,312</w:t>
            </w:r>
          </w:p>
        </w:tc>
        <w:tc>
          <w:tcPr>
            <w:tcW w:type="dxa" w:w="1040"/>
            <w:tcMar>
              <w:top w:type="dxa" w:w="50"/>
              <w:left w:type="dxa" w:w="80"/>
              <w:bottom w:type="dxa" w:w="50"/>
              <w:right w:type="dxa" w:w="80"/>
            </w:tcMar>
          </w:tcPr>
          <w:p>
            <w:pPr>
              <w:spacing w:after="0"/>
              <w:jc w:val="right"/>
            </w:pPr>
            <w:r>
              <w:rPr>
                <w:sz w:val="17"/>
                <w:szCs w:val="17"/>
              </w:rPr>
              <w:t xml:space="preserve">$-7,196</w:t>
            </w:r>
          </w:p>
        </w:tc>
      </w:tr>
      <w:tr>
        <w:tc>
          <w:tcPr>
            <w:tcW w:type="dxa" w:w="1040"/>
            <w:shd w:fill="EEF3F4" w:color="auto" w:val="clear"/>
            <w:tcMar>
              <w:top w:type="dxa" w:w="50"/>
              <w:left w:type="dxa" w:w="80"/>
              <w:bottom w:type="dxa" w:w="50"/>
              <w:right w:type="dxa" w:w="80"/>
            </w:tcMar>
          </w:tcPr>
          <w:p>
            <w:pPr>
              <w:spacing w:after="0"/>
              <w:jc w:val="left"/>
            </w:pPr>
            <w:r>
              <w:rPr>
                <w:sz w:val="17"/>
                <w:szCs w:val="17"/>
              </w:rPr>
              <w:t xml:space="preserve">4</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17,955</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$44,528</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$12,748</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$31,780</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$28,930</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$2,850</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$4,312</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$-1,461</w:t>
            </w:r>
          </w:p>
        </w:tc>
      </w:tr>
      <w:tr>
        <w:tc>
          <w:tcPr>
            <w:tcW w:type="dxa" w:w="1040"/>
            <w:tcMar>
              <w:top w:type="dxa" w:w="50"/>
              <w:left w:type="dxa" w:w="80"/>
              <w:bottom w:type="dxa" w:w="50"/>
              <w:right w:type="dxa" w:w="80"/>
            </w:tcMar>
          </w:tcPr>
          <w:p>
            <w:pPr>
              <w:spacing w:after="0"/>
              <w:jc w:val="left"/>
            </w:pPr>
            <w:r>
              <w:rPr>
                <w:sz w:val="17"/>
                <w:szCs w:val="17"/>
              </w:rPr>
              <w:t xml:space="preserve">5</w:t>
            </w:r>
          </w:p>
        </w:tc>
        <w:tc>
          <w:tcPr>
            <w:tcW w:type="dxa" w:w="1040"/>
            <w:tcMar>
              <w:top w:type="dxa" w:w="50"/>
              <w:left w:type="dxa" w:w="80"/>
              <w:bottom w:type="dxa" w:w="50"/>
              <w:right w:type="dxa" w:w="80"/>
            </w:tcMar>
          </w:tcPr>
          <w:p>
            <w:pPr>
              <w:spacing w:after="0"/>
              <w:jc w:val="right"/>
            </w:pPr>
            <w:r>
              <w:rPr>
                <w:sz w:val="17"/>
                <w:szCs w:val="17"/>
              </w:rPr>
              <w:t xml:space="preserve">21,450</w:t>
            </w:r>
          </w:p>
        </w:tc>
        <w:tc>
          <w:tcPr>
            <w:tcW w:type="dxa" w:w="1040"/>
            <w:tcMar>
              <w:top w:type="dxa" w:w="50"/>
              <w:left w:type="dxa" w:w="80"/>
              <w:bottom w:type="dxa" w:w="50"/>
              <w:right w:type="dxa" w:w="80"/>
            </w:tcMar>
          </w:tcPr>
          <w:p>
            <w:pPr>
              <w:spacing w:after="0"/>
              <w:jc w:val="right"/>
            </w:pPr>
            <w:r>
              <w:rPr>
                <w:sz w:val="17"/>
                <w:szCs w:val="17"/>
              </w:rPr>
              <w:t xml:space="preserve">$53,196</w:t>
            </w:r>
          </w:p>
        </w:tc>
        <w:tc>
          <w:tcPr>
            <w:tcW w:type="dxa" w:w="1040"/>
            <w:tcMar>
              <w:top w:type="dxa" w:w="50"/>
              <w:left w:type="dxa" w:w="80"/>
              <w:bottom w:type="dxa" w:w="50"/>
              <w:right w:type="dxa" w:w="80"/>
            </w:tcMar>
          </w:tcPr>
          <w:p>
            <w:pPr>
              <w:spacing w:after="0"/>
              <w:jc w:val="right"/>
            </w:pPr>
            <w:r>
              <w:rPr>
                <w:sz w:val="17"/>
                <w:szCs w:val="17"/>
              </w:rPr>
              <w:t xml:space="preserve">$15,230</w:t>
            </w:r>
          </w:p>
        </w:tc>
        <w:tc>
          <w:tcPr>
            <w:tcW w:type="dxa" w:w="1040"/>
            <w:tcMar>
              <w:top w:type="dxa" w:w="50"/>
              <w:left w:type="dxa" w:w="80"/>
              <w:bottom w:type="dxa" w:w="50"/>
              <w:right w:type="dxa" w:w="80"/>
            </w:tcMar>
          </w:tcPr>
          <w:p>
            <w:pPr>
              <w:spacing w:after="0"/>
              <w:jc w:val="right"/>
            </w:pPr>
            <w:r>
              <w:rPr>
                <w:sz w:val="17"/>
                <w:szCs w:val="17"/>
              </w:rPr>
              <w:t xml:space="preserve">$37,967</w:t>
            </w:r>
          </w:p>
        </w:tc>
        <w:tc>
          <w:tcPr>
            <w:tcW w:type="dxa" w:w="1040"/>
            <w:tcMar>
              <w:top w:type="dxa" w:w="50"/>
              <w:left w:type="dxa" w:w="80"/>
              <w:bottom w:type="dxa" w:w="50"/>
              <w:right w:type="dxa" w:w="80"/>
            </w:tcMar>
          </w:tcPr>
          <w:p>
            <w:pPr>
              <w:spacing w:after="0"/>
              <w:jc w:val="right"/>
            </w:pPr>
            <w:r>
              <w:rPr>
                <w:sz w:val="17"/>
                <w:szCs w:val="17"/>
              </w:rPr>
              <w:t xml:space="preserve">$28,930</w:t>
            </w:r>
          </w:p>
        </w:tc>
        <w:tc>
          <w:tcPr>
            <w:tcW w:type="dxa" w:w="1040"/>
            <w:tcMar>
              <w:top w:type="dxa" w:w="50"/>
              <w:left w:type="dxa" w:w="80"/>
              <w:bottom w:type="dxa" w:w="50"/>
              <w:right w:type="dxa" w:w="80"/>
            </w:tcMar>
          </w:tcPr>
          <w:p>
            <w:pPr>
              <w:spacing w:after="0"/>
              <w:jc w:val="right"/>
            </w:pPr>
            <w:r>
              <w:rPr>
                <w:sz w:val="17"/>
                <w:szCs w:val="17"/>
              </w:rPr>
              <w:t xml:space="preserve">$9,037</w:t>
            </w:r>
          </w:p>
        </w:tc>
        <w:tc>
          <w:tcPr>
            <w:tcW w:type="dxa" w:w="1040"/>
            <w:tcMar>
              <w:top w:type="dxa" w:w="50"/>
              <w:left w:type="dxa" w:w="80"/>
              <w:bottom w:type="dxa" w:w="50"/>
              <w:right w:type="dxa" w:w="80"/>
            </w:tcMar>
          </w:tcPr>
          <w:p>
            <w:pPr>
              <w:spacing w:after="0"/>
              <w:jc w:val="right"/>
            </w:pPr>
            <w:r>
              <w:rPr>
                <w:sz w:val="17"/>
                <w:szCs w:val="17"/>
              </w:rPr>
              <w:t xml:space="preserve">$4,312</w:t>
            </w:r>
          </w:p>
        </w:tc>
        <w:tc>
          <w:tcPr>
            <w:tcW w:type="dxa" w:w="1040"/>
            <w:tcMar>
              <w:top w:type="dxa" w:w="50"/>
              <w:left w:type="dxa" w:w="80"/>
              <w:bottom w:type="dxa" w:w="50"/>
              <w:right w:type="dxa" w:w="80"/>
            </w:tcMar>
          </w:tcPr>
          <w:p>
            <w:pPr>
              <w:spacing w:after="0"/>
              <w:jc w:val="right"/>
            </w:pPr>
            <w:r>
              <w:rPr>
                <w:sz w:val="17"/>
                <w:szCs w:val="17"/>
              </w:rPr>
              <w:t xml:space="preserve">$4,725</w:t>
            </w:r>
          </w:p>
        </w:tc>
      </w:tr>
      <w:tr>
        <w:tc>
          <w:tcPr>
            <w:tcW w:type="dxa" w:w="1040"/>
            <w:shd w:fill="EEF3F4" w:color="auto" w:val="clear"/>
            <w:tcMar>
              <w:top w:type="dxa" w:w="50"/>
              <w:left w:type="dxa" w:w="80"/>
              <w:bottom w:type="dxa" w:w="50"/>
              <w:right w:type="dxa" w:w="80"/>
            </w:tcMar>
          </w:tcPr>
          <w:p>
            <w:pPr>
              <w:spacing w:after="0"/>
              <w:jc w:val="left"/>
            </w:pPr>
            <w:r>
              <w:rPr>
                <w:sz w:val="17"/>
                <w:szCs w:val="17"/>
              </w:rPr>
              <w:t xml:space="preserve">6</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24,879</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$61,700</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$17,664</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$44,036</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$28,930</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$15,106</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$4,312</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$10,794</w:t>
            </w:r>
          </w:p>
        </w:tc>
      </w:tr>
      <w:tr>
        <w:tc>
          <w:tcPr>
            <w:tcW w:type="dxa" w:w="1040"/>
            <w:tcMar>
              <w:top w:type="dxa" w:w="50"/>
              <w:left w:type="dxa" w:w="80"/>
              <w:bottom w:type="dxa" w:w="50"/>
              <w:right w:type="dxa" w:w="80"/>
            </w:tcMar>
          </w:tcPr>
          <w:p>
            <w:pPr>
              <w:spacing w:after="0"/>
              <w:jc w:val="left"/>
            </w:pPr>
            <w:r>
              <w:rPr>
                <w:sz w:val="17"/>
                <w:szCs w:val="17"/>
              </w:rPr>
              <w:t xml:space="preserve">7</w:t>
            </w:r>
          </w:p>
        </w:tc>
        <w:tc>
          <w:tcPr>
            <w:tcW w:type="dxa" w:w="1040"/>
            <w:tcMar>
              <w:top w:type="dxa" w:w="50"/>
              <w:left w:type="dxa" w:w="80"/>
              <w:bottom w:type="dxa" w:w="50"/>
              <w:right w:type="dxa" w:w="80"/>
            </w:tcMar>
          </w:tcPr>
          <w:p>
            <w:pPr>
              <w:spacing w:after="0"/>
              <w:jc w:val="right"/>
            </w:pPr>
            <w:r>
              <w:rPr>
                <w:sz w:val="17"/>
                <w:szCs w:val="17"/>
              </w:rPr>
              <w:t xml:space="preserve">25,200</w:t>
            </w:r>
          </w:p>
        </w:tc>
        <w:tc>
          <w:tcPr>
            <w:tcW w:type="dxa" w:w="1040"/>
            <w:tcMar>
              <w:top w:type="dxa" w:w="50"/>
              <w:left w:type="dxa" w:w="80"/>
              <w:bottom w:type="dxa" w:w="50"/>
              <w:right w:type="dxa" w:w="80"/>
            </w:tcMar>
          </w:tcPr>
          <w:p>
            <w:pPr>
              <w:spacing w:after="0"/>
              <w:jc w:val="right"/>
            </w:pPr>
            <w:r>
              <w:rPr>
                <w:sz w:val="17"/>
                <w:szCs w:val="17"/>
              </w:rPr>
              <w:t xml:space="preserve">$62,496</w:t>
            </w:r>
          </w:p>
        </w:tc>
        <w:tc>
          <w:tcPr>
            <w:tcW w:type="dxa" w:w="1040"/>
            <w:tcMar>
              <w:top w:type="dxa" w:w="50"/>
              <w:left w:type="dxa" w:w="80"/>
              <w:bottom w:type="dxa" w:w="50"/>
              <w:right w:type="dxa" w:w="80"/>
            </w:tcMar>
          </w:tcPr>
          <w:p>
            <w:pPr>
              <w:spacing w:after="0"/>
              <w:jc w:val="right"/>
            </w:pPr>
            <w:r>
              <w:rPr>
                <w:sz w:val="17"/>
                <w:szCs w:val="17"/>
              </w:rPr>
              <w:t xml:space="preserve">$17,892</w:t>
            </w:r>
          </w:p>
        </w:tc>
        <w:tc>
          <w:tcPr>
            <w:tcW w:type="dxa" w:w="1040"/>
            <w:tcMar>
              <w:top w:type="dxa" w:w="50"/>
              <w:left w:type="dxa" w:w="80"/>
              <w:bottom w:type="dxa" w:w="50"/>
              <w:right w:type="dxa" w:w="80"/>
            </w:tcMar>
          </w:tcPr>
          <w:p>
            <w:pPr>
              <w:spacing w:after="0"/>
              <w:jc w:val="right"/>
            </w:pPr>
            <w:r>
              <w:rPr>
                <w:sz w:val="17"/>
                <w:szCs w:val="17"/>
              </w:rPr>
              <w:t xml:space="preserve">$44,604</w:t>
            </w:r>
          </w:p>
        </w:tc>
        <w:tc>
          <w:tcPr>
            <w:tcW w:type="dxa" w:w="1040"/>
            <w:tcMar>
              <w:top w:type="dxa" w:w="50"/>
              <w:left w:type="dxa" w:w="80"/>
              <w:bottom w:type="dxa" w:w="50"/>
              <w:right w:type="dxa" w:w="80"/>
            </w:tcMar>
          </w:tcPr>
          <w:p>
            <w:pPr>
              <w:spacing w:after="0"/>
              <w:jc w:val="right"/>
            </w:pPr>
            <w:r>
              <w:rPr>
                <w:sz w:val="17"/>
                <w:szCs w:val="17"/>
              </w:rPr>
              <w:t xml:space="preserve">$28,930</w:t>
            </w:r>
          </w:p>
        </w:tc>
        <w:tc>
          <w:tcPr>
            <w:tcW w:type="dxa" w:w="1040"/>
            <w:tcMar>
              <w:top w:type="dxa" w:w="50"/>
              <w:left w:type="dxa" w:w="80"/>
              <w:bottom w:type="dxa" w:w="50"/>
              <w:right w:type="dxa" w:w="80"/>
            </w:tcMar>
          </w:tcPr>
          <w:p>
            <w:pPr>
              <w:spacing w:after="0"/>
              <w:jc w:val="right"/>
            </w:pPr>
            <w:r>
              <w:rPr>
                <w:sz w:val="17"/>
                <w:szCs w:val="17"/>
              </w:rPr>
              <w:t xml:space="preserve">$15,674</w:t>
            </w:r>
          </w:p>
        </w:tc>
        <w:tc>
          <w:tcPr>
            <w:tcW w:type="dxa" w:w="1040"/>
            <w:tcMar>
              <w:top w:type="dxa" w:w="50"/>
              <w:left w:type="dxa" w:w="80"/>
              <w:bottom w:type="dxa" w:w="50"/>
              <w:right w:type="dxa" w:w="80"/>
            </w:tcMar>
          </w:tcPr>
          <w:p>
            <w:pPr>
              <w:spacing w:after="0"/>
              <w:jc w:val="right"/>
            </w:pPr>
            <w:r>
              <w:rPr>
                <w:sz w:val="17"/>
                <w:szCs w:val="17"/>
              </w:rPr>
              <w:t xml:space="preserve">$4,312</w:t>
            </w:r>
          </w:p>
        </w:tc>
        <w:tc>
          <w:tcPr>
            <w:tcW w:type="dxa" w:w="1040"/>
            <w:tcMar>
              <w:top w:type="dxa" w:w="50"/>
              <w:left w:type="dxa" w:w="80"/>
              <w:bottom w:type="dxa" w:w="50"/>
              <w:right w:type="dxa" w:w="80"/>
            </w:tcMar>
          </w:tcPr>
          <w:p>
            <w:pPr>
              <w:spacing w:after="0"/>
              <w:jc w:val="right"/>
            </w:pPr>
            <w:r>
              <w:rPr>
                <w:sz w:val="17"/>
                <w:szCs w:val="17"/>
              </w:rPr>
              <w:t xml:space="preserve">$11,362</w:t>
            </w:r>
          </w:p>
        </w:tc>
      </w:tr>
      <w:tr>
        <w:tc>
          <w:tcPr>
            <w:tcW w:type="dxa" w:w="1040"/>
            <w:shd w:fill="EEF3F4" w:color="auto" w:val="clear"/>
            <w:tcMar>
              <w:top w:type="dxa" w:w="50"/>
              <w:left w:type="dxa" w:w="80"/>
              <w:bottom w:type="dxa" w:w="50"/>
              <w:right w:type="dxa" w:w="80"/>
            </w:tcMar>
          </w:tcPr>
          <w:p>
            <w:pPr>
              <w:spacing w:after="0"/>
              <w:jc w:val="left"/>
            </w:pPr>
            <w:r>
              <w:rPr>
                <w:sz w:val="17"/>
                <w:szCs w:val="17"/>
              </w:rPr>
              <w:t xml:space="preserve">8</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24,879</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$61,700</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$17,664</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$44,036</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$28,930</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$15,106</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$4,312</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$10,794</w:t>
            </w:r>
          </w:p>
        </w:tc>
      </w:tr>
      <w:tr>
        <w:tc>
          <w:tcPr>
            <w:tcW w:type="dxa" w:w="1040"/>
            <w:tcMar>
              <w:top w:type="dxa" w:w="50"/>
              <w:left w:type="dxa" w:w="80"/>
              <w:bottom w:type="dxa" w:w="50"/>
              <w:right w:type="dxa" w:w="80"/>
            </w:tcMar>
          </w:tcPr>
          <w:p>
            <w:pPr>
              <w:spacing w:after="0"/>
              <w:jc w:val="left"/>
            </w:pPr>
            <w:r>
              <w:rPr>
                <w:sz w:val="17"/>
                <w:szCs w:val="17"/>
              </w:rPr>
              <w:t xml:space="preserve">9</w:t>
            </w:r>
          </w:p>
        </w:tc>
        <w:tc>
          <w:tcPr>
            <w:tcW w:type="dxa" w:w="1040"/>
            <w:tcMar>
              <w:top w:type="dxa" w:w="50"/>
              <w:left w:type="dxa" w:w="80"/>
              <w:bottom w:type="dxa" w:w="50"/>
              <w:right w:type="dxa" w:w="80"/>
            </w:tcMar>
          </w:tcPr>
          <w:p>
            <w:pPr>
              <w:spacing w:after="0"/>
              <w:jc w:val="right"/>
            </w:pPr>
            <w:r>
              <w:rPr>
                <w:sz w:val="17"/>
                <w:szCs w:val="17"/>
              </w:rPr>
              <w:t xml:space="preserve">24,003</w:t>
            </w:r>
          </w:p>
        </w:tc>
        <w:tc>
          <w:tcPr>
            <w:tcW w:type="dxa" w:w="1040"/>
            <w:tcMar>
              <w:top w:type="dxa" w:w="50"/>
              <w:left w:type="dxa" w:w="80"/>
              <w:bottom w:type="dxa" w:w="50"/>
              <w:right w:type="dxa" w:w="80"/>
            </w:tcMar>
          </w:tcPr>
          <w:p>
            <w:pPr>
              <w:spacing w:after="0"/>
              <w:jc w:val="right"/>
            </w:pPr>
            <w:r>
              <w:rPr>
                <w:sz w:val="17"/>
                <w:szCs w:val="17"/>
              </w:rPr>
              <w:t xml:space="preserve">$59,527</w:t>
            </w:r>
          </w:p>
        </w:tc>
        <w:tc>
          <w:tcPr>
            <w:tcW w:type="dxa" w:w="1040"/>
            <w:tcMar>
              <w:top w:type="dxa" w:w="50"/>
              <w:left w:type="dxa" w:w="80"/>
              <w:bottom w:type="dxa" w:w="50"/>
              <w:right w:type="dxa" w:w="80"/>
            </w:tcMar>
          </w:tcPr>
          <w:p>
            <w:pPr>
              <w:spacing w:after="0"/>
              <w:jc w:val="right"/>
            </w:pPr>
            <w:r>
              <w:rPr>
                <w:sz w:val="17"/>
                <w:szCs w:val="17"/>
              </w:rPr>
              <w:t xml:space="preserve">$17,042</w:t>
            </w:r>
          </w:p>
        </w:tc>
        <w:tc>
          <w:tcPr>
            <w:tcW w:type="dxa" w:w="1040"/>
            <w:tcMar>
              <w:top w:type="dxa" w:w="50"/>
              <w:left w:type="dxa" w:w="80"/>
              <w:bottom w:type="dxa" w:w="50"/>
              <w:right w:type="dxa" w:w="80"/>
            </w:tcMar>
          </w:tcPr>
          <w:p>
            <w:pPr>
              <w:spacing w:after="0"/>
              <w:jc w:val="right"/>
            </w:pPr>
            <w:r>
              <w:rPr>
                <w:sz w:val="17"/>
                <w:szCs w:val="17"/>
              </w:rPr>
              <w:t xml:space="preserve">$42,485</w:t>
            </w:r>
          </w:p>
        </w:tc>
        <w:tc>
          <w:tcPr>
            <w:tcW w:type="dxa" w:w="1040"/>
            <w:tcMar>
              <w:top w:type="dxa" w:w="50"/>
              <w:left w:type="dxa" w:w="80"/>
              <w:bottom w:type="dxa" w:w="50"/>
              <w:right w:type="dxa" w:w="80"/>
            </w:tcMar>
          </w:tcPr>
          <w:p>
            <w:pPr>
              <w:spacing w:after="0"/>
              <w:jc w:val="right"/>
            </w:pPr>
            <w:r>
              <w:rPr>
                <w:sz w:val="17"/>
                <w:szCs w:val="17"/>
              </w:rPr>
              <w:t xml:space="preserve">$28,930</w:t>
            </w:r>
          </w:p>
        </w:tc>
        <w:tc>
          <w:tcPr>
            <w:tcW w:type="dxa" w:w="1040"/>
            <w:tcMar>
              <w:top w:type="dxa" w:w="50"/>
              <w:left w:type="dxa" w:w="80"/>
              <w:bottom w:type="dxa" w:w="50"/>
              <w:right w:type="dxa" w:w="80"/>
            </w:tcMar>
          </w:tcPr>
          <w:p>
            <w:pPr>
              <w:spacing w:after="0"/>
              <w:jc w:val="right"/>
            </w:pPr>
            <w:r>
              <w:rPr>
                <w:sz w:val="17"/>
                <w:szCs w:val="17"/>
              </w:rPr>
              <w:t xml:space="preserve">$13,555</w:t>
            </w:r>
          </w:p>
        </w:tc>
        <w:tc>
          <w:tcPr>
            <w:tcW w:type="dxa" w:w="1040"/>
            <w:tcMar>
              <w:top w:type="dxa" w:w="50"/>
              <w:left w:type="dxa" w:w="80"/>
              <w:bottom w:type="dxa" w:w="50"/>
              <w:right w:type="dxa" w:w="80"/>
            </w:tcMar>
          </w:tcPr>
          <w:p>
            <w:pPr>
              <w:spacing w:after="0"/>
              <w:jc w:val="right"/>
            </w:pPr>
            <w:r>
              <w:rPr>
                <w:sz w:val="17"/>
                <w:szCs w:val="17"/>
              </w:rPr>
              <w:t xml:space="preserve">$4,312</w:t>
            </w:r>
          </w:p>
        </w:tc>
        <w:tc>
          <w:tcPr>
            <w:tcW w:type="dxa" w:w="1040"/>
            <w:tcMar>
              <w:top w:type="dxa" w:w="50"/>
              <w:left w:type="dxa" w:w="80"/>
              <w:bottom w:type="dxa" w:w="50"/>
              <w:right w:type="dxa" w:w="80"/>
            </w:tcMar>
          </w:tcPr>
          <w:p>
            <w:pPr>
              <w:spacing w:after="0"/>
              <w:jc w:val="right"/>
            </w:pPr>
            <w:r>
              <w:rPr>
                <w:sz w:val="17"/>
                <w:szCs w:val="17"/>
              </w:rPr>
              <w:t xml:space="preserve">$9,243</w:t>
            </w:r>
          </w:p>
        </w:tc>
      </w:tr>
      <w:tr>
        <w:tc>
          <w:tcPr>
            <w:tcW w:type="dxa" w:w="1040"/>
            <w:shd w:fill="EEF3F4" w:color="auto" w:val="clear"/>
            <w:tcMar>
              <w:top w:type="dxa" w:w="50"/>
              <w:left w:type="dxa" w:w="80"/>
              <w:bottom w:type="dxa" w:w="50"/>
              <w:right w:type="dxa" w:w="80"/>
            </w:tcMar>
          </w:tcPr>
          <w:p>
            <w:pPr>
              <w:spacing w:after="0"/>
              <w:jc w:val="left"/>
            </w:pPr>
            <w:r>
              <w:rPr>
                <w:sz w:val="17"/>
                <w:szCs w:val="17"/>
              </w:rPr>
              <w:t xml:space="preserve">10</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22,806</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$56,559</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$16,192</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$40,367</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$28,930</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$11,437</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$4,312</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$7,125</w:t>
            </w:r>
          </w:p>
        </w:tc>
      </w:tr>
      <w:tr>
        <w:tc>
          <w:tcPr>
            <w:tcW w:type="dxa" w:w="1040"/>
            <w:tcMar>
              <w:top w:type="dxa" w:w="50"/>
              <w:left w:type="dxa" w:w="80"/>
              <w:bottom w:type="dxa" w:w="50"/>
              <w:right w:type="dxa" w:w="80"/>
            </w:tcMar>
          </w:tcPr>
          <w:p>
            <w:pPr>
              <w:spacing w:after="0"/>
              <w:jc w:val="left"/>
            </w:pPr>
            <w:r>
              <w:rPr>
                <w:sz w:val="17"/>
                <w:szCs w:val="17"/>
              </w:rPr>
              <w:t xml:space="preserve">11</w:t>
            </w:r>
          </w:p>
        </w:tc>
        <w:tc>
          <w:tcPr>
            <w:tcW w:type="dxa" w:w="1040"/>
            <w:tcMar>
              <w:top w:type="dxa" w:w="50"/>
              <w:left w:type="dxa" w:w="80"/>
              <w:bottom w:type="dxa" w:w="50"/>
              <w:right w:type="dxa" w:w="80"/>
            </w:tcMar>
          </w:tcPr>
          <w:p>
            <w:pPr>
              <w:spacing w:after="0"/>
              <w:jc w:val="right"/>
            </w:pPr>
            <w:r>
              <w:rPr>
                <w:sz w:val="17"/>
                <w:szCs w:val="17"/>
              </w:rPr>
              <w:t xml:space="preserve">21,609</w:t>
            </w:r>
          </w:p>
        </w:tc>
        <w:tc>
          <w:tcPr>
            <w:tcW w:type="dxa" w:w="1040"/>
            <w:tcMar>
              <w:top w:type="dxa" w:w="50"/>
              <w:left w:type="dxa" w:w="80"/>
              <w:bottom w:type="dxa" w:w="50"/>
              <w:right w:type="dxa" w:w="80"/>
            </w:tcMar>
          </w:tcPr>
          <w:p>
            <w:pPr>
              <w:spacing w:after="0"/>
              <w:jc w:val="right"/>
            </w:pPr>
            <w:r>
              <w:rPr>
                <w:sz w:val="17"/>
                <w:szCs w:val="17"/>
              </w:rPr>
              <w:t xml:space="preserve">$53,590</w:t>
            </w:r>
          </w:p>
        </w:tc>
        <w:tc>
          <w:tcPr>
            <w:tcW w:type="dxa" w:w="1040"/>
            <w:tcMar>
              <w:top w:type="dxa" w:w="50"/>
              <w:left w:type="dxa" w:w="80"/>
              <w:bottom w:type="dxa" w:w="50"/>
              <w:right w:type="dxa" w:w="80"/>
            </w:tcMar>
          </w:tcPr>
          <w:p>
            <w:pPr>
              <w:spacing w:after="0"/>
              <w:jc w:val="right"/>
            </w:pPr>
            <w:r>
              <w:rPr>
                <w:sz w:val="17"/>
                <w:szCs w:val="17"/>
              </w:rPr>
              <w:t xml:space="preserve">$15,342</w:t>
            </w:r>
          </w:p>
        </w:tc>
        <w:tc>
          <w:tcPr>
            <w:tcW w:type="dxa" w:w="1040"/>
            <w:tcMar>
              <w:top w:type="dxa" w:w="50"/>
              <w:left w:type="dxa" w:w="80"/>
              <w:bottom w:type="dxa" w:w="50"/>
              <w:right w:type="dxa" w:w="80"/>
            </w:tcMar>
          </w:tcPr>
          <w:p>
            <w:pPr>
              <w:spacing w:after="0"/>
              <w:jc w:val="right"/>
            </w:pPr>
            <w:r>
              <w:rPr>
                <w:sz w:val="17"/>
                <w:szCs w:val="17"/>
              </w:rPr>
              <w:t xml:space="preserve">$38,248</w:t>
            </w:r>
          </w:p>
        </w:tc>
        <w:tc>
          <w:tcPr>
            <w:tcW w:type="dxa" w:w="1040"/>
            <w:tcMar>
              <w:top w:type="dxa" w:w="50"/>
              <w:left w:type="dxa" w:w="80"/>
              <w:bottom w:type="dxa" w:w="50"/>
              <w:right w:type="dxa" w:w="80"/>
            </w:tcMar>
          </w:tcPr>
          <w:p>
            <w:pPr>
              <w:spacing w:after="0"/>
              <w:jc w:val="right"/>
            </w:pPr>
            <w:r>
              <w:rPr>
                <w:sz w:val="17"/>
                <w:szCs w:val="17"/>
              </w:rPr>
              <w:t xml:space="preserve">$28,930</w:t>
            </w:r>
          </w:p>
        </w:tc>
        <w:tc>
          <w:tcPr>
            <w:tcW w:type="dxa" w:w="1040"/>
            <w:tcMar>
              <w:top w:type="dxa" w:w="50"/>
              <w:left w:type="dxa" w:w="80"/>
              <w:bottom w:type="dxa" w:w="50"/>
              <w:right w:type="dxa" w:w="80"/>
            </w:tcMar>
          </w:tcPr>
          <w:p>
            <w:pPr>
              <w:spacing w:after="0"/>
              <w:jc w:val="right"/>
            </w:pPr>
            <w:r>
              <w:rPr>
                <w:sz w:val="17"/>
                <w:szCs w:val="17"/>
              </w:rPr>
              <w:t xml:space="preserve">$9,318</w:t>
            </w:r>
          </w:p>
        </w:tc>
        <w:tc>
          <w:tcPr>
            <w:tcW w:type="dxa" w:w="1040"/>
            <w:tcMar>
              <w:top w:type="dxa" w:w="50"/>
              <w:left w:type="dxa" w:w="80"/>
              <w:bottom w:type="dxa" w:w="50"/>
              <w:right w:type="dxa" w:w="80"/>
            </w:tcMar>
          </w:tcPr>
          <w:p>
            <w:pPr>
              <w:spacing w:after="0"/>
              <w:jc w:val="right"/>
            </w:pPr>
            <w:r>
              <w:rPr>
                <w:sz w:val="17"/>
                <w:szCs w:val="17"/>
              </w:rPr>
              <w:t xml:space="preserve">$4,312</w:t>
            </w:r>
          </w:p>
        </w:tc>
        <w:tc>
          <w:tcPr>
            <w:tcW w:type="dxa" w:w="1040"/>
            <w:tcMar>
              <w:top w:type="dxa" w:w="50"/>
              <w:left w:type="dxa" w:w="80"/>
              <w:bottom w:type="dxa" w:w="50"/>
              <w:right w:type="dxa" w:w="80"/>
            </w:tcMar>
          </w:tcPr>
          <w:p>
            <w:pPr>
              <w:spacing w:after="0"/>
              <w:jc w:val="right"/>
            </w:pPr>
            <w:r>
              <w:rPr>
                <w:sz w:val="17"/>
                <w:szCs w:val="17"/>
              </w:rPr>
              <w:t xml:space="preserve">$5,006</w:t>
            </w:r>
          </w:p>
        </w:tc>
      </w:tr>
      <w:tr>
        <w:tc>
          <w:tcPr>
            <w:tcW w:type="dxa" w:w="1040"/>
            <w:shd w:fill="EEF3F4" w:color="auto" w:val="clear"/>
            <w:tcMar>
              <w:top w:type="dxa" w:w="50"/>
              <w:left w:type="dxa" w:w="80"/>
              <w:bottom w:type="dxa" w:w="50"/>
              <w:right w:type="dxa" w:w="80"/>
            </w:tcMar>
          </w:tcPr>
          <w:p>
            <w:pPr>
              <w:spacing w:after="0"/>
              <w:jc w:val="left"/>
            </w:pPr>
            <w:r>
              <w:rPr>
                <w:sz w:val="17"/>
                <w:szCs w:val="17"/>
              </w:rPr>
              <w:t xml:space="preserve">12</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20,733</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$51,418</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$14,720</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$36,697</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$28,930</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$7,767</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$4,312</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$3,456</w:t>
            </w:r>
          </w:p>
        </w:tc>
      </w:tr>
      <w:tr>
        <w:tc>
          <w:tcPr>
            <w:tcW w:type="dxa" w:w="1040"/>
            <w:tcMar>
              <w:top w:type="dxa" w:w="50"/>
              <w:left w:type="dxa" w:w="80"/>
              <w:bottom w:type="dxa" w:w="50"/>
              <w:right w:type="dxa" w:w="80"/>
            </w:tcMar>
          </w:tcPr>
          <w:p>
            <w:pPr>
              <w:spacing w:after="0"/>
              <w:jc w:val="left"/>
            </w:pPr>
            <w:r>
              <w:rPr>
                <w:b/>
                <w:bCs/>
                <w:sz w:val="17"/>
                <w:szCs w:val="17"/>
              </w:rPr>
              <w:t xml:space="preserve">Year 1</w:t>
            </w:r>
          </w:p>
        </w:tc>
        <w:tc>
          <w:tcPr>
            <w:tcW w:type="dxa" w:w="1040"/>
            <w:tcMar>
              <w:top w:type="dxa" w:w="50"/>
              <w:left w:type="dxa" w:w="80"/>
              <w:bottom w:type="dxa" w:w="50"/>
              <w:right w:type="dxa" w:w="80"/>
            </w:tcMar>
          </w:tcPr>
          <w:p>
            <w:pPr>
              <w:spacing w:after="0"/>
              <w:jc w:val="right"/>
            </w:pPr>
            <w:r>
              <w:rPr>
                <w:b/>
                <w:bCs/>
                <w:sz w:val="17"/>
                <w:szCs w:val="17"/>
              </w:rPr>
              <w:t xml:space="preserve">239,700</w:t>
            </w:r>
          </w:p>
        </w:tc>
        <w:tc>
          <w:tcPr>
            <w:tcW w:type="dxa" w:w="1040"/>
            <w:tcMar>
              <w:top w:type="dxa" w:w="50"/>
              <w:left w:type="dxa" w:w="80"/>
              <w:bottom w:type="dxa" w:w="50"/>
              <w:right w:type="dxa" w:w="80"/>
            </w:tcMar>
          </w:tcPr>
          <w:p>
            <w:pPr>
              <w:spacing w:after="0"/>
              <w:jc w:val="right"/>
            </w:pPr>
            <w:r>
              <w:rPr>
                <w:b/>
                <w:bCs/>
                <w:sz w:val="17"/>
                <w:szCs w:val="17"/>
              </w:rPr>
              <w:t xml:space="preserve">$594,456</w:t>
            </w:r>
          </w:p>
        </w:tc>
        <w:tc>
          <w:tcPr>
            <w:tcW w:type="dxa" w:w="1040"/>
            <w:tcMar>
              <w:top w:type="dxa" w:w="50"/>
              <w:left w:type="dxa" w:w="80"/>
              <w:bottom w:type="dxa" w:w="50"/>
              <w:right w:type="dxa" w:w="80"/>
            </w:tcMar>
          </w:tcPr>
          <w:p>
            <w:pPr>
              <w:spacing w:after="0"/>
              <w:jc w:val="right"/>
            </w:pPr>
            <w:r>
              <w:rPr>
                <w:b/>
                <w:bCs/>
                <w:sz w:val="17"/>
                <w:szCs w:val="17"/>
              </w:rPr>
              <w:t xml:space="preserve">$170,187</w:t>
            </w:r>
          </w:p>
        </w:tc>
        <w:tc>
          <w:tcPr>
            <w:tcW w:type="dxa" w:w="1040"/>
            <w:tcMar>
              <w:top w:type="dxa" w:w="50"/>
              <w:left w:type="dxa" w:w="80"/>
              <w:bottom w:type="dxa" w:w="50"/>
              <w:right w:type="dxa" w:w="80"/>
            </w:tcMar>
          </w:tcPr>
          <w:p>
            <w:pPr>
              <w:spacing w:after="0"/>
              <w:jc w:val="right"/>
            </w:pPr>
            <w:r>
              <w:rPr>
                <w:b/>
                <w:bCs/>
                <w:sz w:val="17"/>
                <w:szCs w:val="17"/>
              </w:rPr>
              <w:t xml:space="preserve">$424,269</w:t>
            </w:r>
          </w:p>
        </w:tc>
        <w:tc>
          <w:tcPr>
            <w:tcW w:type="dxa" w:w="1040"/>
            <w:tcMar>
              <w:top w:type="dxa" w:w="50"/>
              <w:left w:type="dxa" w:w="80"/>
              <w:bottom w:type="dxa" w:w="50"/>
              <w:right w:type="dxa" w:w="80"/>
            </w:tcMar>
          </w:tcPr>
          <w:p>
            <w:pPr>
              <w:spacing w:after="0"/>
              <w:jc w:val="right"/>
            </w:pPr>
            <w:r>
              <w:rPr>
                <w:b/>
                <w:bCs/>
                <w:sz w:val="17"/>
                <w:szCs w:val="17"/>
              </w:rPr>
              <w:t xml:space="preserve">$347,160</w:t>
            </w:r>
          </w:p>
        </w:tc>
        <w:tc>
          <w:tcPr>
            <w:tcW w:type="dxa" w:w="1040"/>
            <w:tcMar>
              <w:top w:type="dxa" w:w="50"/>
              <w:left w:type="dxa" w:w="80"/>
              <w:bottom w:type="dxa" w:w="50"/>
              <w:right w:type="dxa" w:w="80"/>
            </w:tcMar>
          </w:tcPr>
          <w:p>
            <w:pPr>
              <w:spacing w:after="0"/>
              <w:jc w:val="right"/>
            </w:pPr>
            <w:r>
              <w:rPr>
                <w:b/>
                <w:bCs/>
                <w:sz w:val="17"/>
                <w:szCs w:val="17"/>
              </w:rPr>
              <w:t xml:space="preserve">$77,109</w:t>
            </w:r>
          </w:p>
        </w:tc>
        <w:tc>
          <w:tcPr>
            <w:tcW w:type="dxa" w:w="1040"/>
            <w:tcMar>
              <w:top w:type="dxa" w:w="50"/>
              <w:left w:type="dxa" w:w="80"/>
              <w:bottom w:type="dxa" w:w="50"/>
              <w:right w:type="dxa" w:w="80"/>
            </w:tcMar>
          </w:tcPr>
          <w:p>
            <w:pPr>
              <w:spacing w:after="0"/>
              <w:jc w:val="right"/>
            </w:pPr>
            <w:r>
              <w:rPr>
                <w:b/>
                <w:bCs/>
                <w:sz w:val="17"/>
                <w:szCs w:val="17"/>
              </w:rPr>
              <w:t xml:space="preserve">$51,742</w:t>
            </w:r>
          </w:p>
        </w:tc>
        <w:tc>
          <w:tcPr>
            <w:tcW w:type="dxa" w:w="1040"/>
            <w:tcMar>
              <w:top w:type="dxa" w:w="50"/>
              <w:left w:type="dxa" w:w="80"/>
              <w:bottom w:type="dxa" w:w="50"/>
              <w:right w:type="dxa" w:w="80"/>
            </w:tcMar>
          </w:tcPr>
          <w:p>
            <w:pPr>
              <w:spacing w:after="0"/>
              <w:jc w:val="right"/>
            </w:pPr>
            <w:r>
              <w:rPr>
                <w:b/>
                <w:bCs/>
                <w:sz w:val="17"/>
                <w:szCs w:val="17"/>
              </w:rPr>
              <w:t xml:space="preserve">$25,367</w:t>
            </w:r>
          </w:p>
        </w:tc>
      </w:tr>
    </w:tbl>
    <w:p>
      <w:pPr>
        <w:spacing w:after="140"/>
      </w:pPr>
      <w:r>
        <w:t xml:space="preserve"/>
      </w:r>
    </w:p>
    <w:p>
      <w:pPr>
        <w:spacing w:after="90"/>
      </w:pPr>
      <w:r>
        <w:t xml:space="preserve"/>
      </w:r>
    </w:p>
    <w:p>
      <w:pPr>
        <w:pStyle w:val="Heading2"/>
        <w:spacing w:after="110" w:before="240"/>
      </w:pPr>
      <w:r>
        <w:t xml:space="preserve">Cash Flow — Year 1</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rPr>
          <w:tblHeader/>
        </w:trPr>
        <w:tc>
          <w:tcPr>
            <w:tcW w:type="dxa" w:w="2340"/>
            <w:shd w:fill="0F4C5C" w:color="auto" w:val="clear"/>
            <w:tcMar>
              <w:top w:type="dxa" w:w="50"/>
              <w:left w:type="dxa" w:w="80"/>
              <w:bottom w:type="dxa" w:w="50"/>
              <w:right w:type="dxa" w:w="80"/>
            </w:tcMar>
          </w:tcPr>
          <w:p>
            <w:pPr>
              <w:spacing w:after="0"/>
              <w:jc w:val="left"/>
            </w:pPr>
            <w:r>
              <w:rPr>
                <w:b/>
                <w:bCs/>
                <w:color w:val="FFFFFF"/>
                <w:sz w:val="17"/>
                <w:szCs w:val="17"/>
              </w:rPr>
              <w:t xml:space="preserve">Month</w:t>
            </w:r>
          </w:p>
        </w:tc>
        <w:tc>
          <w:tcPr>
            <w:tcW w:type="dxa" w:w="2340"/>
            <w:shd w:fill="0F4C5C" w:color="auto" w:val="clear"/>
            <w:tcMar>
              <w:top w:type="dxa" w:w="50"/>
              <w:left w:type="dxa" w:w="80"/>
              <w:bottom w:type="dxa" w:w="50"/>
              <w:right w:type="dxa" w:w="80"/>
            </w:tcMar>
          </w:tcPr>
          <w:p>
            <w:pPr>
              <w:spacing w:after="0"/>
              <w:jc w:val="right"/>
            </w:pPr>
            <w:r>
              <w:rPr>
                <w:b/>
                <w:bCs/>
                <w:color w:val="FFFFFF"/>
                <w:sz w:val="17"/>
                <w:szCs w:val="17"/>
              </w:rPr>
              <w:t xml:space="preserve">Opening cash</w:t>
            </w:r>
          </w:p>
        </w:tc>
        <w:tc>
          <w:tcPr>
            <w:tcW w:type="dxa" w:w="2340"/>
            <w:shd w:fill="0F4C5C" w:color="auto" w:val="clear"/>
            <w:tcMar>
              <w:top w:type="dxa" w:w="50"/>
              <w:left w:type="dxa" w:w="80"/>
              <w:bottom w:type="dxa" w:w="50"/>
              <w:right w:type="dxa" w:w="80"/>
            </w:tcMar>
          </w:tcPr>
          <w:p>
            <w:pPr>
              <w:spacing w:after="0"/>
              <w:jc w:val="right"/>
            </w:pPr>
            <w:r>
              <w:rPr>
                <w:b/>
                <w:bCs/>
                <w:color w:val="FFFFFF"/>
                <w:sz w:val="17"/>
                <w:szCs w:val="17"/>
              </w:rPr>
              <w:t xml:space="preserve">Net movement</w:t>
            </w:r>
          </w:p>
        </w:tc>
        <w:tc>
          <w:tcPr>
            <w:tcW w:type="dxa" w:w="2340"/>
            <w:shd w:fill="0F4C5C" w:color="auto" w:val="clear"/>
            <w:tcMar>
              <w:top w:type="dxa" w:w="50"/>
              <w:left w:type="dxa" w:w="80"/>
              <w:bottom w:type="dxa" w:w="50"/>
              <w:right w:type="dxa" w:w="80"/>
            </w:tcMar>
          </w:tcPr>
          <w:p>
            <w:pPr>
              <w:spacing w:after="0"/>
              <w:jc w:val="right"/>
            </w:pPr>
            <w:r>
              <w:rPr>
                <w:b/>
                <w:bCs/>
                <w:color w:val="FFFFFF"/>
                <w:sz w:val="17"/>
                <w:szCs w:val="17"/>
              </w:rPr>
              <w:t xml:space="preserve">Closing cash</w:t>
            </w:r>
          </w:p>
        </w:tc>
      </w:tr>
      <w:tr>
        <w:tc>
          <w:tcPr>
            <w:tcW w:type="dxa" w:w="2340"/>
            <w:tcMar>
              <w:top w:type="dxa" w:w="50"/>
              <w:left w:type="dxa" w:w="80"/>
              <w:bottom w:type="dxa" w:w="50"/>
              <w:right w:type="dxa" w:w="80"/>
            </w:tcMar>
          </w:tcPr>
          <w:p>
            <w:pPr>
              <w:spacing w:after="0"/>
              <w:jc w:val="left"/>
            </w:pPr>
            <w:r>
              <w:rPr>
                <w:sz w:val="17"/>
                <w:szCs w:val="17"/>
              </w:rPr>
              <w:t xml:space="preserve">1</w:t>
            </w:r>
          </w:p>
        </w:tc>
        <w:tc>
          <w:tcPr>
            <w:tcW w:type="dxa" w:w="2340"/>
            <w:tcMar>
              <w:top w:type="dxa" w:w="50"/>
              <w:left w:type="dxa" w:w="80"/>
              <w:bottom w:type="dxa" w:w="50"/>
              <w:right w:type="dxa" w:w="80"/>
            </w:tcMar>
          </w:tcPr>
          <w:p>
            <w:pPr>
              <w:spacing w:after="0"/>
              <w:jc w:val="right"/>
            </w:pPr>
            <w:r>
              <w:rPr>
                <w:sz w:val="17"/>
                <w:szCs w:val="17"/>
              </w:rPr>
              <w:t xml:space="preserve">$46,200</w:t>
            </w:r>
          </w:p>
        </w:tc>
        <w:tc>
          <w:tcPr>
            <w:tcW w:type="dxa" w:w="2340"/>
            <w:tcMar>
              <w:top w:type="dxa" w:w="50"/>
              <w:left w:type="dxa" w:w="80"/>
              <w:bottom w:type="dxa" w:w="50"/>
              <w:right w:type="dxa" w:w="80"/>
            </w:tcMar>
          </w:tcPr>
          <w:p>
            <w:pPr>
              <w:spacing w:after="0"/>
              <w:jc w:val="right"/>
            </w:pPr>
            <w:r>
              <w:rPr>
                <w:sz w:val="17"/>
                <w:szCs w:val="17"/>
              </w:rPr>
              <w:t xml:space="preserve">$-16,324</w:t>
            </w:r>
          </w:p>
        </w:tc>
        <w:tc>
          <w:tcPr>
            <w:tcW w:type="dxa" w:w="2340"/>
            <w:tcMar>
              <w:top w:type="dxa" w:w="50"/>
              <w:left w:type="dxa" w:w="80"/>
              <w:bottom w:type="dxa" w:w="50"/>
              <w:right w:type="dxa" w:w="80"/>
            </w:tcMar>
          </w:tcPr>
          <w:p>
            <w:pPr>
              <w:spacing w:after="0"/>
              <w:jc w:val="right"/>
            </w:pPr>
            <w:r>
              <w:rPr>
                <w:sz w:val="17"/>
                <w:szCs w:val="17"/>
              </w:rPr>
              <w:t xml:space="preserve">$29,876</w:t>
            </w:r>
          </w:p>
        </w:tc>
      </w:tr>
      <w:tr>
        <w:tc>
          <w:tcPr>
            <w:tcW w:type="dxa" w:w="2340"/>
            <w:shd w:fill="EEF3F4" w:color="auto" w:val="clear"/>
            <w:tcMar>
              <w:top w:type="dxa" w:w="50"/>
              <w:left w:type="dxa" w:w="80"/>
              <w:bottom w:type="dxa" w:w="50"/>
              <w:right w:type="dxa" w:w="80"/>
            </w:tcMar>
          </w:tcPr>
          <w:p>
            <w:pPr>
              <w:spacing w:after="0"/>
              <w:jc w:val="left"/>
            </w:pPr>
            <w:r>
              <w:rPr>
                <w:sz w:val="17"/>
                <w:szCs w:val="17"/>
              </w:rPr>
              <w:t xml:space="preserve">2</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$29,876</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$-12,156</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$17,720</w:t>
            </w:r>
          </w:p>
        </w:tc>
      </w:tr>
      <w:tr>
        <w:tc>
          <w:tcPr>
            <w:tcW w:type="dxa" w:w="2340"/>
            <w:tcMar>
              <w:top w:type="dxa" w:w="50"/>
              <w:left w:type="dxa" w:w="80"/>
              <w:bottom w:type="dxa" w:w="50"/>
              <w:right w:type="dxa" w:w="80"/>
            </w:tcMar>
          </w:tcPr>
          <w:p>
            <w:pPr>
              <w:spacing w:after="0"/>
              <w:jc w:val="left"/>
            </w:pPr>
            <w:r>
              <w:rPr>
                <w:sz w:val="17"/>
                <w:szCs w:val="17"/>
              </w:rPr>
              <w:t xml:space="preserve">3</w:t>
            </w:r>
          </w:p>
        </w:tc>
        <w:tc>
          <w:tcPr>
            <w:tcW w:type="dxa" w:w="2340"/>
            <w:tcMar>
              <w:top w:type="dxa" w:w="50"/>
              <w:left w:type="dxa" w:w="80"/>
              <w:bottom w:type="dxa" w:w="50"/>
              <w:right w:type="dxa" w:w="80"/>
            </w:tcMar>
          </w:tcPr>
          <w:p>
            <w:pPr>
              <w:spacing w:after="0"/>
              <w:jc w:val="right"/>
            </w:pPr>
            <w:r>
              <w:rPr>
                <w:sz w:val="17"/>
                <w:szCs w:val="17"/>
              </w:rPr>
              <w:t xml:space="preserve">$17,720</w:t>
            </w:r>
          </w:p>
        </w:tc>
        <w:tc>
          <w:tcPr>
            <w:tcW w:type="dxa" w:w="2340"/>
            <w:tcMar>
              <w:top w:type="dxa" w:w="50"/>
              <w:left w:type="dxa" w:w="80"/>
              <w:bottom w:type="dxa" w:w="50"/>
              <w:right w:type="dxa" w:w="80"/>
            </w:tcMar>
          </w:tcPr>
          <w:p>
            <w:pPr>
              <w:spacing w:after="0"/>
              <w:jc w:val="right"/>
            </w:pPr>
            <w:r>
              <w:rPr>
                <w:sz w:val="17"/>
                <w:szCs w:val="17"/>
              </w:rPr>
              <w:t xml:space="preserve">$-7,196</w:t>
            </w:r>
          </w:p>
        </w:tc>
        <w:tc>
          <w:tcPr>
            <w:tcW w:type="dxa" w:w="2340"/>
            <w:tcMar>
              <w:top w:type="dxa" w:w="50"/>
              <w:left w:type="dxa" w:w="80"/>
              <w:bottom w:type="dxa" w:w="50"/>
              <w:right w:type="dxa" w:w="80"/>
            </w:tcMar>
          </w:tcPr>
          <w:p>
            <w:pPr>
              <w:spacing w:after="0"/>
              <w:jc w:val="right"/>
            </w:pPr>
            <w:r>
              <w:rPr>
                <w:sz w:val="17"/>
                <w:szCs w:val="17"/>
              </w:rPr>
              <w:t xml:space="preserve">$10,524</w:t>
            </w:r>
          </w:p>
        </w:tc>
      </w:tr>
      <w:tr>
        <w:tc>
          <w:tcPr>
            <w:tcW w:type="dxa" w:w="2340"/>
            <w:shd w:fill="EEF3F4" w:color="auto" w:val="clear"/>
            <w:tcMar>
              <w:top w:type="dxa" w:w="50"/>
              <w:left w:type="dxa" w:w="80"/>
              <w:bottom w:type="dxa" w:w="50"/>
              <w:right w:type="dxa" w:w="80"/>
            </w:tcMar>
          </w:tcPr>
          <w:p>
            <w:pPr>
              <w:spacing w:after="0"/>
              <w:jc w:val="left"/>
            </w:pPr>
            <w:r>
              <w:rPr>
                <w:sz w:val="17"/>
                <w:szCs w:val="17"/>
              </w:rPr>
              <w:t xml:space="preserve">4</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$10,524</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$-1,461</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$9,062</w:t>
            </w:r>
          </w:p>
        </w:tc>
      </w:tr>
      <w:tr>
        <w:tc>
          <w:tcPr>
            <w:tcW w:type="dxa" w:w="2340"/>
            <w:tcMar>
              <w:top w:type="dxa" w:w="50"/>
              <w:left w:type="dxa" w:w="80"/>
              <w:bottom w:type="dxa" w:w="50"/>
              <w:right w:type="dxa" w:w="80"/>
            </w:tcMar>
          </w:tcPr>
          <w:p>
            <w:pPr>
              <w:spacing w:after="0"/>
              <w:jc w:val="left"/>
            </w:pPr>
            <w:r>
              <w:rPr>
                <w:sz w:val="17"/>
                <w:szCs w:val="17"/>
              </w:rPr>
              <w:t xml:space="preserve">5</w:t>
            </w:r>
          </w:p>
        </w:tc>
        <w:tc>
          <w:tcPr>
            <w:tcW w:type="dxa" w:w="2340"/>
            <w:tcMar>
              <w:top w:type="dxa" w:w="50"/>
              <w:left w:type="dxa" w:w="80"/>
              <w:bottom w:type="dxa" w:w="50"/>
              <w:right w:type="dxa" w:w="80"/>
            </w:tcMar>
          </w:tcPr>
          <w:p>
            <w:pPr>
              <w:spacing w:after="0"/>
              <w:jc w:val="right"/>
            </w:pPr>
            <w:r>
              <w:rPr>
                <w:sz w:val="17"/>
                <w:szCs w:val="17"/>
              </w:rPr>
              <w:t xml:space="preserve">$9,062</w:t>
            </w:r>
          </w:p>
        </w:tc>
        <w:tc>
          <w:tcPr>
            <w:tcW w:type="dxa" w:w="2340"/>
            <w:tcMar>
              <w:top w:type="dxa" w:w="50"/>
              <w:left w:type="dxa" w:w="80"/>
              <w:bottom w:type="dxa" w:w="50"/>
              <w:right w:type="dxa" w:w="80"/>
            </w:tcMar>
          </w:tcPr>
          <w:p>
            <w:pPr>
              <w:spacing w:after="0"/>
              <w:jc w:val="right"/>
            </w:pPr>
            <w:r>
              <w:rPr>
                <w:sz w:val="17"/>
                <w:szCs w:val="17"/>
              </w:rPr>
              <w:t xml:space="preserve">$4,725</w:t>
            </w:r>
          </w:p>
        </w:tc>
        <w:tc>
          <w:tcPr>
            <w:tcW w:type="dxa" w:w="2340"/>
            <w:tcMar>
              <w:top w:type="dxa" w:w="50"/>
              <w:left w:type="dxa" w:w="80"/>
              <w:bottom w:type="dxa" w:w="50"/>
              <w:right w:type="dxa" w:w="80"/>
            </w:tcMar>
          </w:tcPr>
          <w:p>
            <w:pPr>
              <w:spacing w:after="0"/>
              <w:jc w:val="right"/>
            </w:pPr>
            <w:r>
              <w:rPr>
                <w:sz w:val="17"/>
                <w:szCs w:val="17"/>
              </w:rPr>
              <w:t xml:space="preserve">$13,787</w:t>
            </w:r>
          </w:p>
        </w:tc>
      </w:tr>
      <w:tr>
        <w:tc>
          <w:tcPr>
            <w:tcW w:type="dxa" w:w="2340"/>
            <w:shd w:fill="EEF3F4" w:color="auto" w:val="clear"/>
            <w:tcMar>
              <w:top w:type="dxa" w:w="50"/>
              <w:left w:type="dxa" w:w="80"/>
              <w:bottom w:type="dxa" w:w="50"/>
              <w:right w:type="dxa" w:w="80"/>
            </w:tcMar>
          </w:tcPr>
          <w:p>
            <w:pPr>
              <w:spacing w:after="0"/>
              <w:jc w:val="left"/>
            </w:pPr>
            <w:r>
              <w:rPr>
                <w:sz w:val="17"/>
                <w:szCs w:val="17"/>
              </w:rPr>
              <w:t xml:space="preserve">6</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$13,787</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$10,794</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$24,581</w:t>
            </w:r>
          </w:p>
        </w:tc>
      </w:tr>
      <w:tr>
        <w:tc>
          <w:tcPr>
            <w:tcW w:type="dxa" w:w="2340"/>
            <w:tcMar>
              <w:top w:type="dxa" w:w="50"/>
              <w:left w:type="dxa" w:w="80"/>
              <w:bottom w:type="dxa" w:w="50"/>
              <w:right w:type="dxa" w:w="80"/>
            </w:tcMar>
          </w:tcPr>
          <w:p>
            <w:pPr>
              <w:spacing w:after="0"/>
              <w:jc w:val="left"/>
            </w:pPr>
            <w:r>
              <w:rPr>
                <w:sz w:val="17"/>
                <w:szCs w:val="17"/>
              </w:rPr>
              <w:t xml:space="preserve">7</w:t>
            </w:r>
          </w:p>
        </w:tc>
        <w:tc>
          <w:tcPr>
            <w:tcW w:type="dxa" w:w="2340"/>
            <w:tcMar>
              <w:top w:type="dxa" w:w="50"/>
              <w:left w:type="dxa" w:w="80"/>
              <w:bottom w:type="dxa" w:w="50"/>
              <w:right w:type="dxa" w:w="80"/>
            </w:tcMar>
          </w:tcPr>
          <w:p>
            <w:pPr>
              <w:spacing w:after="0"/>
              <w:jc w:val="right"/>
            </w:pPr>
            <w:r>
              <w:rPr>
                <w:sz w:val="17"/>
                <w:szCs w:val="17"/>
              </w:rPr>
              <w:t xml:space="preserve">$24,581</w:t>
            </w:r>
          </w:p>
        </w:tc>
        <w:tc>
          <w:tcPr>
            <w:tcW w:type="dxa" w:w="2340"/>
            <w:tcMar>
              <w:top w:type="dxa" w:w="50"/>
              <w:left w:type="dxa" w:w="80"/>
              <w:bottom w:type="dxa" w:w="50"/>
              <w:right w:type="dxa" w:w="80"/>
            </w:tcMar>
          </w:tcPr>
          <w:p>
            <w:pPr>
              <w:spacing w:after="0"/>
              <w:jc w:val="right"/>
            </w:pPr>
            <w:r>
              <w:rPr>
                <w:sz w:val="17"/>
                <w:szCs w:val="17"/>
              </w:rPr>
              <w:t xml:space="preserve">$11,362</w:t>
            </w:r>
          </w:p>
        </w:tc>
        <w:tc>
          <w:tcPr>
            <w:tcW w:type="dxa" w:w="2340"/>
            <w:tcMar>
              <w:top w:type="dxa" w:w="50"/>
              <w:left w:type="dxa" w:w="80"/>
              <w:bottom w:type="dxa" w:w="50"/>
              <w:right w:type="dxa" w:w="80"/>
            </w:tcMar>
          </w:tcPr>
          <w:p>
            <w:pPr>
              <w:spacing w:after="0"/>
              <w:jc w:val="right"/>
            </w:pPr>
            <w:r>
              <w:rPr>
                <w:sz w:val="17"/>
                <w:szCs w:val="17"/>
              </w:rPr>
              <w:t xml:space="preserve">$35,943</w:t>
            </w:r>
          </w:p>
        </w:tc>
      </w:tr>
      <w:tr>
        <w:tc>
          <w:tcPr>
            <w:tcW w:type="dxa" w:w="2340"/>
            <w:shd w:fill="EEF3F4" w:color="auto" w:val="clear"/>
            <w:tcMar>
              <w:top w:type="dxa" w:w="50"/>
              <w:left w:type="dxa" w:w="80"/>
              <w:bottom w:type="dxa" w:w="50"/>
              <w:right w:type="dxa" w:w="80"/>
            </w:tcMar>
          </w:tcPr>
          <w:p>
            <w:pPr>
              <w:spacing w:after="0"/>
              <w:jc w:val="left"/>
            </w:pPr>
            <w:r>
              <w:rPr>
                <w:sz w:val="17"/>
                <w:szCs w:val="17"/>
              </w:rPr>
              <w:t xml:space="preserve">8</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$35,943</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$10,794</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$46,737</w:t>
            </w:r>
          </w:p>
        </w:tc>
      </w:tr>
      <w:tr>
        <w:tc>
          <w:tcPr>
            <w:tcW w:type="dxa" w:w="2340"/>
            <w:tcMar>
              <w:top w:type="dxa" w:w="50"/>
              <w:left w:type="dxa" w:w="80"/>
              <w:bottom w:type="dxa" w:w="50"/>
              <w:right w:type="dxa" w:w="80"/>
            </w:tcMar>
          </w:tcPr>
          <w:p>
            <w:pPr>
              <w:spacing w:after="0"/>
              <w:jc w:val="left"/>
            </w:pPr>
            <w:r>
              <w:rPr>
                <w:sz w:val="17"/>
                <w:szCs w:val="17"/>
              </w:rPr>
              <w:t xml:space="preserve">9</w:t>
            </w:r>
          </w:p>
        </w:tc>
        <w:tc>
          <w:tcPr>
            <w:tcW w:type="dxa" w:w="2340"/>
            <w:tcMar>
              <w:top w:type="dxa" w:w="50"/>
              <w:left w:type="dxa" w:w="80"/>
              <w:bottom w:type="dxa" w:w="50"/>
              <w:right w:type="dxa" w:w="80"/>
            </w:tcMar>
          </w:tcPr>
          <w:p>
            <w:pPr>
              <w:spacing w:after="0"/>
              <w:jc w:val="right"/>
            </w:pPr>
            <w:r>
              <w:rPr>
                <w:sz w:val="17"/>
                <w:szCs w:val="17"/>
              </w:rPr>
              <w:t xml:space="preserve">$46,737</w:t>
            </w:r>
          </w:p>
        </w:tc>
        <w:tc>
          <w:tcPr>
            <w:tcW w:type="dxa" w:w="2340"/>
            <w:tcMar>
              <w:top w:type="dxa" w:w="50"/>
              <w:left w:type="dxa" w:w="80"/>
              <w:bottom w:type="dxa" w:w="50"/>
              <w:right w:type="dxa" w:w="80"/>
            </w:tcMar>
          </w:tcPr>
          <w:p>
            <w:pPr>
              <w:spacing w:after="0"/>
              <w:jc w:val="right"/>
            </w:pPr>
            <w:r>
              <w:rPr>
                <w:sz w:val="17"/>
                <w:szCs w:val="17"/>
              </w:rPr>
              <w:t xml:space="preserve">$9,243</w:t>
            </w:r>
          </w:p>
        </w:tc>
        <w:tc>
          <w:tcPr>
            <w:tcW w:type="dxa" w:w="2340"/>
            <w:tcMar>
              <w:top w:type="dxa" w:w="50"/>
              <w:left w:type="dxa" w:w="80"/>
              <w:bottom w:type="dxa" w:w="50"/>
              <w:right w:type="dxa" w:w="80"/>
            </w:tcMar>
          </w:tcPr>
          <w:p>
            <w:pPr>
              <w:spacing w:after="0"/>
              <w:jc w:val="right"/>
            </w:pPr>
            <w:r>
              <w:rPr>
                <w:sz w:val="17"/>
                <w:szCs w:val="17"/>
              </w:rPr>
              <w:t xml:space="preserve">$55,980</w:t>
            </w:r>
          </w:p>
        </w:tc>
      </w:tr>
      <w:tr>
        <w:tc>
          <w:tcPr>
            <w:tcW w:type="dxa" w:w="2340"/>
            <w:shd w:fill="EEF3F4" w:color="auto" w:val="clear"/>
            <w:tcMar>
              <w:top w:type="dxa" w:w="50"/>
              <w:left w:type="dxa" w:w="80"/>
              <w:bottom w:type="dxa" w:w="50"/>
              <w:right w:type="dxa" w:w="80"/>
            </w:tcMar>
          </w:tcPr>
          <w:p>
            <w:pPr>
              <w:spacing w:after="0"/>
              <w:jc w:val="left"/>
            </w:pPr>
            <w:r>
              <w:rPr>
                <w:sz w:val="17"/>
                <w:szCs w:val="17"/>
              </w:rPr>
              <w:t xml:space="preserve">10</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$55,980</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$7,125</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$63,105</w:t>
            </w:r>
          </w:p>
        </w:tc>
      </w:tr>
      <w:tr>
        <w:tc>
          <w:tcPr>
            <w:tcW w:type="dxa" w:w="2340"/>
            <w:tcMar>
              <w:top w:type="dxa" w:w="50"/>
              <w:left w:type="dxa" w:w="80"/>
              <w:bottom w:type="dxa" w:w="50"/>
              <w:right w:type="dxa" w:w="80"/>
            </w:tcMar>
          </w:tcPr>
          <w:p>
            <w:pPr>
              <w:spacing w:after="0"/>
              <w:jc w:val="left"/>
            </w:pPr>
            <w:r>
              <w:rPr>
                <w:sz w:val="17"/>
                <w:szCs w:val="17"/>
              </w:rPr>
              <w:t xml:space="preserve">11</w:t>
            </w:r>
          </w:p>
        </w:tc>
        <w:tc>
          <w:tcPr>
            <w:tcW w:type="dxa" w:w="2340"/>
            <w:tcMar>
              <w:top w:type="dxa" w:w="50"/>
              <w:left w:type="dxa" w:w="80"/>
              <w:bottom w:type="dxa" w:w="50"/>
              <w:right w:type="dxa" w:w="80"/>
            </w:tcMar>
          </w:tcPr>
          <w:p>
            <w:pPr>
              <w:spacing w:after="0"/>
              <w:jc w:val="right"/>
            </w:pPr>
            <w:r>
              <w:rPr>
                <w:sz w:val="17"/>
                <w:szCs w:val="17"/>
              </w:rPr>
              <w:t xml:space="preserve">$63,105</w:t>
            </w:r>
          </w:p>
        </w:tc>
        <w:tc>
          <w:tcPr>
            <w:tcW w:type="dxa" w:w="2340"/>
            <w:tcMar>
              <w:top w:type="dxa" w:w="50"/>
              <w:left w:type="dxa" w:w="80"/>
              <w:bottom w:type="dxa" w:w="50"/>
              <w:right w:type="dxa" w:w="80"/>
            </w:tcMar>
          </w:tcPr>
          <w:p>
            <w:pPr>
              <w:spacing w:after="0"/>
              <w:jc w:val="right"/>
            </w:pPr>
            <w:r>
              <w:rPr>
                <w:sz w:val="17"/>
                <w:szCs w:val="17"/>
              </w:rPr>
              <w:t xml:space="preserve">$5,006</w:t>
            </w:r>
          </w:p>
        </w:tc>
        <w:tc>
          <w:tcPr>
            <w:tcW w:type="dxa" w:w="2340"/>
            <w:tcMar>
              <w:top w:type="dxa" w:w="50"/>
              <w:left w:type="dxa" w:w="80"/>
              <w:bottom w:type="dxa" w:w="50"/>
              <w:right w:type="dxa" w:w="80"/>
            </w:tcMar>
          </w:tcPr>
          <w:p>
            <w:pPr>
              <w:spacing w:after="0"/>
              <w:jc w:val="right"/>
            </w:pPr>
            <w:r>
              <w:rPr>
                <w:sz w:val="17"/>
                <w:szCs w:val="17"/>
              </w:rPr>
              <w:t xml:space="preserve">$68,111</w:t>
            </w:r>
          </w:p>
        </w:tc>
      </w:tr>
      <w:tr>
        <w:tc>
          <w:tcPr>
            <w:tcW w:type="dxa" w:w="2340"/>
            <w:shd w:fill="EEF3F4" w:color="auto" w:val="clear"/>
            <w:tcMar>
              <w:top w:type="dxa" w:w="50"/>
              <w:left w:type="dxa" w:w="80"/>
              <w:bottom w:type="dxa" w:w="50"/>
              <w:right w:type="dxa" w:w="80"/>
            </w:tcMar>
          </w:tcPr>
          <w:p>
            <w:pPr>
              <w:spacing w:after="0"/>
              <w:jc w:val="left"/>
            </w:pPr>
            <w:r>
              <w:rPr>
                <w:sz w:val="17"/>
                <w:szCs w:val="17"/>
              </w:rPr>
              <w:t xml:space="preserve">12</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$68,111</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$3,456</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$71,567</w:t>
            </w:r>
          </w:p>
        </w:tc>
      </w:tr>
    </w:tbl>
    <w:p>
      <w:pPr>
        <w:spacing w:after="140"/>
      </w:pPr>
      <w:r>
        <w:t xml:space="preserve"/>
      </w:r>
    </w:p>
    <w:p>
      <w:pPr>
        <w:spacing w:after="90"/>
      </w:pPr>
      <w:r>
        <w:t xml:space="preserve"/>
      </w:r>
    </w:p>
    <w:p>
      <w:pPr>
        <w:pStyle w:val="Heading2"/>
        <w:spacing w:after="110" w:before="240"/>
      </w:pPr>
      <w:r>
        <w:t xml:space="preserve">Break-Even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tblHeader/>
        </w:trPr>
        <w:tc>
          <w:tcPr>
            <w:tcW w:type="dxa" w:w="4680"/>
            <w:shd w:fill="0F4C5C" w:color="auto" w:val="clear"/>
            <w:tcMar>
              <w:top w:type="dxa" w:w="50"/>
              <w:left w:type="dxa" w:w="80"/>
              <w:bottom w:type="dxa" w:w="50"/>
              <w:right w:type="dxa" w:w="80"/>
            </w:tcMar>
          </w:tcPr>
          <w:p>
            <w:pPr>
              <w:spacing w:after="0"/>
              <w:jc w:val="left"/>
            </w:pPr>
            <w:r>
              <w:rPr>
                <w:b/>
                <w:bCs/>
                <w:color w:val="FFFFFF"/>
                <w:sz w:val="17"/>
                <w:szCs w:val="17"/>
              </w:rPr>
              <w:t xml:space="preserve">Break-even</w:t>
            </w:r>
          </w:p>
        </w:tc>
        <w:tc>
          <w:tcPr>
            <w:tcW w:type="dxa" w:w="4680"/>
            <w:shd w:fill="0F4C5C" w:color="auto" w:val="clear"/>
            <w:tcMar>
              <w:top w:type="dxa" w:w="50"/>
              <w:left w:type="dxa" w:w="80"/>
              <w:bottom w:type="dxa" w:w="50"/>
              <w:right w:type="dxa" w:w="80"/>
            </w:tcMar>
          </w:tcPr>
          <w:p>
            <w:pPr>
              <w:spacing w:after="0"/>
              <w:jc w:val="right"/>
            </w:pPr>
            <w:r>
              <w:rPr>
                <w:b/>
                <w:bCs/>
                <w:color w:val="FFFFFF"/>
                <w:sz w:val="17"/>
                <w:szCs w:val="17"/>
              </w:rPr>
              <w:t xml:space="preserve">Value</w:t>
            </w:r>
          </w:p>
        </w:tc>
      </w:tr>
      <w:tr>
        <w:tc>
          <w:tcPr>
            <w:tcW w:type="dxa" w:w="4680"/>
            <w:tcMar>
              <w:top w:type="dxa" w:w="50"/>
              <w:left w:type="dxa" w:w="80"/>
              <w:bottom w:type="dxa" w:w="50"/>
              <w:right w:type="dxa" w:w="80"/>
            </w:tcMar>
          </w:tcPr>
          <w:p>
            <w:pPr>
              <w:spacing w:after="0"/>
              <w:jc w:val="left"/>
            </w:pPr>
            <w:r>
              <w:rPr>
                <w:sz w:val="17"/>
                <w:szCs w:val="17"/>
              </w:rPr>
              <w:t xml:space="preserve">Contribution margin per unit</w:t>
            </w:r>
          </w:p>
        </w:tc>
        <w:tc>
          <w:tcPr>
            <w:tcW w:type="dxa" w:w="4680"/>
            <w:tcMar>
              <w:top w:type="dxa" w:w="50"/>
              <w:left w:type="dxa" w:w="80"/>
              <w:bottom w:type="dxa" w:w="50"/>
              <w:right w:type="dxa" w:w="80"/>
            </w:tcMar>
          </w:tcPr>
          <w:p>
            <w:pPr>
              <w:spacing w:after="0"/>
              <w:jc w:val="right"/>
            </w:pPr>
            <w:r>
              <w:rPr>
                <w:sz w:val="17"/>
                <w:szCs w:val="17"/>
              </w:rPr>
              <w:t xml:space="preserve">$1.77</w:t>
            </w:r>
          </w:p>
        </w:tc>
      </w:tr>
      <w:tr>
        <w:tc>
          <w:tcPr>
            <w:tcW w:type="dxa" w:w="4680"/>
            <w:shd w:fill="EEF3F4" w:color="auto" w:val="clear"/>
            <w:tcMar>
              <w:top w:type="dxa" w:w="50"/>
              <w:left w:type="dxa" w:w="80"/>
              <w:bottom w:type="dxa" w:w="50"/>
              <w:right w:type="dxa" w:w="80"/>
            </w:tcMar>
          </w:tcPr>
          <w:p>
            <w:pPr>
              <w:spacing w:after="0"/>
              <w:jc w:val="left"/>
            </w:pPr>
            <w:r>
              <w:rPr>
                <w:sz w:val="17"/>
                <w:szCs w:val="17"/>
              </w:rPr>
              <w:t xml:space="preserve">Fixed costs plus debt service</w:t>
            </w:r>
          </w:p>
        </w:tc>
        <w:tc>
          <w:tcPr>
            <w:tcW w:type="dxa" w:w="4680"/>
            <w:shd w:fill="EEF3F4" w:color="auto" w:val="clear"/>
            <w:tcMar>
              <w:top w:type="dxa" w:w="50"/>
              <w:left w:type="dxa" w:w="80"/>
              <w:bottom w:type="dxa" w:w="50"/>
              <w:right w:type="dxa" w:w="80"/>
            </w:tcMar>
          </w:tcPr>
          <w:p>
            <w:pPr>
              <w:spacing w:after="0"/>
              <w:jc w:val="right"/>
            </w:pPr>
            <w:r>
              <w:rPr>
                <w:sz w:val="17"/>
                <w:szCs w:val="17"/>
              </w:rPr>
              <w:t xml:space="preserve">$33,242</w:t>
            </w:r>
          </w:p>
        </w:tc>
      </w:tr>
      <w:tr>
        <w:tc>
          <w:tcPr>
            <w:tcW w:type="dxa" w:w="4680"/>
            <w:tcMar>
              <w:top w:type="dxa" w:w="50"/>
              <w:left w:type="dxa" w:w="80"/>
              <w:bottom w:type="dxa" w:w="50"/>
              <w:right w:type="dxa" w:w="80"/>
            </w:tcMar>
          </w:tcPr>
          <w:p>
            <w:pPr>
              <w:spacing w:after="0"/>
              <w:jc w:val="left"/>
            </w:pPr>
            <w:r>
              <w:rPr>
                <w:sz w:val="17"/>
                <w:szCs w:val="17"/>
              </w:rPr>
              <w:t xml:space="preserve">Break-even volume</w:t>
            </w:r>
          </w:p>
        </w:tc>
        <w:tc>
          <w:tcPr>
            <w:tcW w:type="dxa" w:w="4680"/>
            <w:tcMar>
              <w:top w:type="dxa" w:w="50"/>
              <w:left w:type="dxa" w:w="80"/>
              <w:bottom w:type="dxa" w:w="50"/>
              <w:right w:type="dxa" w:w="80"/>
            </w:tcMar>
          </w:tcPr>
          <w:p>
            <w:pPr>
              <w:spacing w:after="0"/>
              <w:jc w:val="right"/>
            </w:pPr>
            <w:r>
              <w:rPr>
                <w:sz w:val="17"/>
                <w:szCs w:val="17"/>
              </w:rPr>
              <w:t xml:space="preserve">18,781 units/month</w:t>
            </w:r>
          </w:p>
        </w:tc>
      </w:tr>
      <w:tr>
        <w:tc>
          <w:tcPr>
            <w:tcW w:type="dxa" w:w="4680"/>
            <w:shd w:fill="EEF3F4" w:color="auto" w:val="clear"/>
            <w:tcMar>
              <w:top w:type="dxa" w:w="50"/>
              <w:left w:type="dxa" w:w="80"/>
              <w:bottom w:type="dxa" w:w="50"/>
              <w:right w:type="dxa" w:w="80"/>
            </w:tcMar>
          </w:tcPr>
          <w:p>
            <w:pPr>
              <w:spacing w:after="0"/>
              <w:jc w:val="left"/>
            </w:pPr>
            <w:r>
              <w:rPr>
                <w:sz w:val="17"/>
                <w:szCs w:val="17"/>
              </w:rPr>
              <w:t xml:space="preserve">Break-even revenue</w:t>
            </w:r>
          </w:p>
        </w:tc>
        <w:tc>
          <w:tcPr>
            <w:tcW w:type="dxa" w:w="4680"/>
            <w:shd w:fill="EEF3F4" w:color="auto" w:val="clear"/>
            <w:tcMar>
              <w:top w:type="dxa" w:w="50"/>
              <w:left w:type="dxa" w:w="80"/>
              <w:bottom w:type="dxa" w:w="50"/>
              <w:right w:type="dxa" w:w="80"/>
            </w:tcMar>
          </w:tcPr>
          <w:p>
            <w:pPr>
              <w:spacing w:after="0"/>
              <w:jc w:val="right"/>
            </w:pPr>
            <w:r>
              <w:rPr>
                <w:sz w:val="17"/>
                <w:szCs w:val="17"/>
              </w:rPr>
              <w:t xml:space="preserve">$46,577</w:t>
            </w:r>
          </w:p>
        </w:tc>
      </w:tr>
      <w:tr>
        <w:tc>
          <w:tcPr>
            <w:tcW w:type="dxa" w:w="4680"/>
            <w:tcMar>
              <w:top w:type="dxa" w:w="50"/>
              <w:left w:type="dxa" w:w="80"/>
              <w:bottom w:type="dxa" w:w="50"/>
              <w:right w:type="dxa" w:w="80"/>
            </w:tcMar>
          </w:tcPr>
          <w:p>
            <w:pPr>
              <w:spacing w:after="0"/>
              <w:jc w:val="left"/>
            </w:pPr>
            <w:r>
              <w:rPr>
                <w:sz w:val="17"/>
                <w:szCs w:val="17"/>
              </w:rPr>
              <w:t xml:space="preserve">Share of capacity required</w:t>
            </w:r>
          </w:p>
        </w:tc>
        <w:tc>
          <w:tcPr>
            <w:tcW w:type="dxa" w:w="4680"/>
            <w:tcMar>
              <w:top w:type="dxa" w:w="50"/>
              <w:left w:type="dxa" w:w="80"/>
              <w:bottom w:type="dxa" w:w="50"/>
              <w:right w:type="dxa" w:w="80"/>
            </w:tcMar>
          </w:tcPr>
          <w:p>
            <w:pPr>
              <w:spacing w:after="0"/>
              <w:jc w:val="right"/>
            </w:pPr>
            <w:r>
              <w:rPr>
                <w:sz w:val="17"/>
                <w:szCs w:val="17"/>
              </w:rPr>
              <w:t xml:space="preserve">59.6%</w:t>
            </w:r>
          </w:p>
        </w:tc>
      </w:tr>
      <w:tr>
        <w:tc>
          <w:tcPr>
            <w:tcW w:type="dxa" w:w="4680"/>
            <w:shd w:fill="EEF3F4" w:color="auto" w:val="clear"/>
            <w:tcMar>
              <w:top w:type="dxa" w:w="50"/>
              <w:left w:type="dxa" w:w="80"/>
              <w:bottom w:type="dxa" w:w="50"/>
              <w:right w:type="dxa" w:w="80"/>
            </w:tcMar>
          </w:tcPr>
          <w:p>
            <w:pPr>
              <w:spacing w:after="0"/>
              <w:jc w:val="left"/>
            </w:pPr>
            <w:r>
              <w:rPr>
                <w:sz w:val="17"/>
                <w:szCs w:val="17"/>
              </w:rPr>
              <w:t xml:space="preserve">Month reached</w:t>
            </w:r>
          </w:p>
        </w:tc>
        <w:tc>
          <w:tcPr>
            <w:tcW w:type="dxa" w:w="4680"/>
            <w:shd w:fill="EEF3F4" w:color="auto" w:val="clear"/>
            <w:tcMar>
              <w:top w:type="dxa" w:w="50"/>
              <w:left w:type="dxa" w:w="80"/>
              <w:bottom w:type="dxa" w:w="50"/>
              <w:right w:type="dxa" w:w="80"/>
            </w:tcMar>
          </w:tcPr>
          <w:p>
            <w:pPr>
              <w:spacing w:after="0"/>
              <w:jc w:val="right"/>
            </w:pPr>
            <w:r>
              <w:rPr>
                <w:sz w:val="17"/>
                <w:szCs w:val="17"/>
              </w:rPr>
              <w:t xml:space="preserve">5</w:t>
            </w:r>
          </w:p>
        </w:tc>
      </w:tr>
    </w:tbl>
    <w:p>
      <w:pPr>
        <w:spacing w:after="140"/>
      </w:pPr>
      <w:r>
        <w:t xml:space="preserve"/>
      </w:r>
    </w:p>
    <w:p>
      <w:pPr>
        <w:spacing w:after="90"/>
      </w:pPr>
      <w:r>
        <w:t xml:space="preserve"/>
      </w:r>
    </w:p>
    <w:p>
      <w:pPr>
        <w:pStyle w:val="Heading2"/>
        <w:spacing w:after="110" w:before="240"/>
      </w:pPr>
      <w:r>
        <w:t xml:space="preserve">Scenario Analysis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rPr>
          <w:tblHeader/>
        </w:trPr>
        <w:tc>
          <w:tcPr>
            <w:tcW w:type="dxa" w:w="2340"/>
            <w:shd w:fill="0F4C5C" w:color="auto" w:val="clear"/>
            <w:tcMar>
              <w:top w:type="dxa" w:w="50"/>
              <w:left w:type="dxa" w:w="80"/>
              <w:bottom w:type="dxa" w:w="50"/>
              <w:right w:type="dxa" w:w="80"/>
            </w:tcMar>
          </w:tcPr>
          <w:p>
            <w:pPr>
              <w:spacing w:after="0"/>
              <w:jc w:val="left"/>
            </w:pPr>
            <w:r>
              <w:rPr>
                <w:b/>
                <w:bCs/>
                <w:color w:val="FFFFFF"/>
                <w:sz w:val="17"/>
                <w:szCs w:val="17"/>
              </w:rPr>
              <w:t xml:space="preserve">Scenario</w:t>
            </w:r>
          </w:p>
        </w:tc>
        <w:tc>
          <w:tcPr>
            <w:tcW w:type="dxa" w:w="2340"/>
            <w:shd w:fill="0F4C5C" w:color="auto" w:val="clear"/>
            <w:tcMar>
              <w:top w:type="dxa" w:w="50"/>
              <w:left w:type="dxa" w:w="80"/>
              <w:bottom w:type="dxa" w:w="50"/>
              <w:right w:type="dxa" w:w="80"/>
            </w:tcMar>
          </w:tcPr>
          <w:p>
            <w:pPr>
              <w:spacing w:after="0"/>
              <w:jc w:val="right"/>
            </w:pPr>
            <w:r>
              <w:rPr>
                <w:b/>
                <w:bCs/>
                <w:color w:val="FFFFFF"/>
                <w:sz w:val="17"/>
                <w:szCs w:val="17"/>
              </w:rPr>
              <w:t xml:space="preserve">Year-1 revenue</w:t>
            </w:r>
          </w:p>
        </w:tc>
        <w:tc>
          <w:tcPr>
            <w:tcW w:type="dxa" w:w="2340"/>
            <w:shd w:fill="0F4C5C" w:color="auto" w:val="clear"/>
            <w:tcMar>
              <w:top w:type="dxa" w:w="50"/>
              <w:left w:type="dxa" w:w="80"/>
              <w:bottom w:type="dxa" w:w="50"/>
              <w:right w:type="dxa" w:w="80"/>
            </w:tcMar>
          </w:tcPr>
          <w:p>
            <w:pPr>
              <w:spacing w:after="0"/>
              <w:jc w:val="right"/>
            </w:pPr>
            <w:r>
              <w:rPr>
                <w:b/>
                <w:bCs/>
                <w:color w:val="FFFFFF"/>
                <w:sz w:val="17"/>
                <w:szCs w:val="17"/>
              </w:rPr>
              <w:t xml:space="preserve">Cash low point</w:t>
            </w:r>
          </w:p>
        </w:tc>
        <w:tc>
          <w:tcPr>
            <w:tcW w:type="dxa" w:w="2340"/>
            <w:shd w:fill="0F4C5C" w:color="auto" w:val="clear"/>
            <w:tcMar>
              <w:top w:type="dxa" w:w="50"/>
              <w:left w:type="dxa" w:w="80"/>
              <w:bottom w:type="dxa" w:w="50"/>
              <w:right w:type="dxa" w:w="80"/>
            </w:tcMar>
          </w:tcPr>
          <w:p>
            <w:pPr>
              <w:spacing w:after="0"/>
              <w:jc w:val="right"/>
            </w:pPr>
            <w:r>
              <w:rPr>
                <w:b/>
                <w:bCs/>
                <w:color w:val="FFFFFF"/>
                <w:sz w:val="17"/>
                <w:szCs w:val="17"/>
              </w:rPr>
              <w:t xml:space="preserve">Year-1 DSCR</w:t>
            </w:r>
          </w:p>
        </w:tc>
      </w:tr>
      <w:tr>
        <w:tc>
          <w:tcPr>
            <w:tcW w:type="dxa" w:w="2340"/>
            <w:tcMar>
              <w:top w:type="dxa" w:w="50"/>
              <w:left w:type="dxa" w:w="80"/>
              <w:bottom w:type="dxa" w:w="50"/>
              <w:right w:type="dxa" w:w="80"/>
            </w:tcMar>
          </w:tcPr>
          <w:p>
            <w:pPr>
              <w:spacing w:after="0"/>
              <w:jc w:val="left"/>
            </w:pPr>
            <w:r>
              <w:rPr>
                <w:sz w:val="17"/>
                <w:szCs w:val="17"/>
              </w:rPr>
              <w:t xml:space="preserve">Conservative (−20% volume)</w:t>
            </w:r>
          </w:p>
        </w:tc>
        <w:tc>
          <w:tcPr>
            <w:tcW w:type="dxa" w:w="2340"/>
            <w:tcMar>
              <w:top w:type="dxa" w:w="50"/>
              <w:left w:type="dxa" w:w="80"/>
              <w:bottom w:type="dxa" w:w="50"/>
              <w:right w:type="dxa" w:w="80"/>
            </w:tcMar>
          </w:tcPr>
          <w:p>
            <w:pPr>
              <w:spacing w:after="0"/>
              <w:jc w:val="right"/>
            </w:pPr>
            <w:r>
              <w:rPr>
                <w:sz w:val="17"/>
                <w:szCs w:val="17"/>
              </w:rPr>
              <w:t xml:space="preserve">$475,560</w:t>
            </w:r>
          </w:p>
        </w:tc>
        <w:tc>
          <w:tcPr>
            <w:tcW w:type="dxa" w:w="2340"/>
            <w:tcMar>
              <w:top w:type="dxa" w:w="50"/>
              <w:left w:type="dxa" w:w="80"/>
              <w:bottom w:type="dxa" w:w="50"/>
              <w:right w:type="dxa" w:w="80"/>
            </w:tcMar>
          </w:tcPr>
          <w:p>
            <w:pPr>
              <w:spacing w:after="0"/>
              <w:jc w:val="right"/>
            </w:pPr>
            <w:r>
              <w:rPr>
                <w:sz w:val="17"/>
                <w:szCs w:val="17"/>
              </w:rPr>
              <w:t xml:space="preserve">$-13,290</w:t>
            </w:r>
          </w:p>
        </w:tc>
        <w:tc>
          <w:tcPr>
            <w:tcW w:type="dxa" w:w="2340"/>
            <w:tcMar>
              <w:top w:type="dxa" w:w="50"/>
              <w:left w:type="dxa" w:w="80"/>
              <w:bottom w:type="dxa" w:w="50"/>
              <w:right w:type="dxa" w:w="80"/>
            </w:tcMar>
          </w:tcPr>
          <w:p>
            <w:pPr>
              <w:spacing w:after="0"/>
              <w:jc w:val="right"/>
            </w:pPr>
            <w:r>
              <w:rPr>
                <w:sz w:val="17"/>
                <w:szCs w:val="17"/>
              </w:rPr>
              <w:t xml:space="preserve">-0.15</w:t>
            </w:r>
          </w:p>
        </w:tc>
      </w:tr>
      <w:tr>
        <w:tc>
          <w:tcPr>
            <w:tcW w:type="dxa" w:w="2340"/>
            <w:shd w:fill="EEF3F4" w:color="auto" w:val="clear"/>
            <w:tcMar>
              <w:top w:type="dxa" w:w="50"/>
              <w:left w:type="dxa" w:w="80"/>
              <w:bottom w:type="dxa" w:w="50"/>
              <w:right w:type="dxa" w:w="80"/>
            </w:tcMar>
          </w:tcPr>
          <w:p>
            <w:pPr>
              <w:spacing w:after="0"/>
              <w:jc w:val="left"/>
            </w:pPr>
            <w:r>
              <w:rPr>
                <w:sz w:val="17"/>
                <w:szCs w:val="17"/>
              </w:rPr>
              <w:t xml:space="preserve">Base</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$594,456</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$9,062</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1.49</w:t>
            </w:r>
          </w:p>
        </w:tc>
      </w:tr>
      <w:tr>
        <w:tc>
          <w:tcPr>
            <w:tcW w:type="dxa" w:w="2340"/>
            <w:tcMar>
              <w:top w:type="dxa" w:w="50"/>
              <w:left w:type="dxa" w:w="80"/>
              <w:bottom w:type="dxa" w:w="50"/>
              <w:right w:type="dxa" w:w="80"/>
            </w:tcMar>
          </w:tcPr>
          <w:p>
            <w:pPr>
              <w:spacing w:after="0"/>
              <w:jc w:val="left"/>
            </w:pPr>
            <w:r>
              <w:rPr>
                <w:sz w:val="17"/>
                <w:szCs w:val="17"/>
              </w:rPr>
              <w:t xml:space="preserve">Strong (+20% volume)</w:t>
            </w:r>
          </w:p>
        </w:tc>
        <w:tc>
          <w:tcPr>
            <w:tcW w:type="dxa" w:w="2340"/>
            <w:tcMar>
              <w:top w:type="dxa" w:w="50"/>
              <w:left w:type="dxa" w:w="80"/>
              <w:bottom w:type="dxa" w:w="50"/>
              <w:right w:type="dxa" w:w="80"/>
            </w:tcMar>
          </w:tcPr>
          <w:p>
            <w:pPr>
              <w:spacing w:after="0"/>
              <w:jc w:val="right"/>
            </w:pPr>
            <w:r>
              <w:rPr>
                <w:sz w:val="17"/>
                <w:szCs w:val="17"/>
              </w:rPr>
              <w:t xml:space="preserve">$713,350</w:t>
            </w:r>
          </w:p>
        </w:tc>
        <w:tc>
          <w:tcPr>
            <w:tcW w:type="dxa" w:w="2340"/>
            <w:tcMar>
              <w:top w:type="dxa" w:w="50"/>
              <w:left w:type="dxa" w:w="80"/>
              <w:bottom w:type="dxa" w:w="50"/>
              <w:right w:type="dxa" w:w="80"/>
            </w:tcMar>
          </w:tcPr>
          <w:p>
            <w:pPr>
              <w:spacing w:after="0"/>
              <w:jc w:val="right"/>
            </w:pPr>
            <w:r>
              <w:rPr>
                <w:sz w:val="17"/>
                <w:szCs w:val="17"/>
              </w:rPr>
              <w:t xml:space="preserve">$23,335</w:t>
            </w:r>
          </w:p>
        </w:tc>
        <w:tc>
          <w:tcPr>
            <w:tcW w:type="dxa" w:w="2340"/>
            <w:tcMar>
              <w:top w:type="dxa" w:w="50"/>
              <w:left w:type="dxa" w:w="80"/>
              <w:bottom w:type="dxa" w:w="50"/>
              <w:right w:type="dxa" w:w="80"/>
            </w:tcMar>
          </w:tcPr>
          <w:p>
            <w:pPr>
              <w:spacing w:after="0"/>
              <w:jc w:val="right"/>
            </w:pPr>
            <w:r>
              <w:rPr>
                <w:sz w:val="17"/>
                <w:szCs w:val="17"/>
              </w:rPr>
              <w:t xml:space="preserve">3.13</w:t>
            </w:r>
          </w:p>
        </w:tc>
      </w:tr>
    </w:tbl>
    <w:p>
      <w:pPr>
        <w:spacing w:after="140"/>
      </w:pPr>
      <w:r>
        <w:t xml:space="preserve"/>
      </w:r>
    </w:p>
    <w:p>
      <w:pPr>
        <w:spacing w:after="90"/>
      </w:pPr>
      <w:r>
        <w:t xml:space="preserve"/>
      </w:r>
    </w:p>
    <w:p>
      <w:pPr>
        <w:pStyle w:val="Heading1"/>
        <w:spacing w:after="140" w:before="320"/>
      </w:pPr>
      <w:r>
        <w:t xml:space="preserve">Funding Request and Use of Funds</w:t>
      </w:r>
    </w:p>
    <w:p>
      <w:pPr>
        <w:spacing w:after="130"/>
      </w:pPr>
      <w:r>
        <w:t xml:space="preserve">Ridgeline Freight LLC requests a loan of $248,000 to finance the acquisition of equipment and working capital required to operate three trucks under its existing FMCSA authority. The owner will inject $73,000 in seasoned funds from savings and retained earnings, bringing total sources to $321,000 against a documented startup requirement of $320,800.</w:t>
      </w:r>
    </w:p>
    <w:p>
      <w:pPr>
        <w:spacing w:after="90"/>
      </w:pPr>
      <w:r>
        <w:t xml:space="preserve"/>
      </w:r>
    </w:p>
    <w:p>
      <w:pPr>
        <w:spacing w:after="130"/>
      </w:pPr>
      <w:r>
        <w:t xml:space="preserve">The loan proceeds will be applied as follows: $148,000 for two used sleeper tractors, $52,000 for two 53-foot dry-van trailers, $21,000 for the insurance down payment and factoring escrow, $9,800 for ELD hardware, cameras, compliance items and lettering, and $17,200 for the first 60 days of fuel. These amounts align with supplier quotes or estimates already obtained. The balance of the equipment cost, $26,800, is covered by the owner injection.</w:t>
      </w:r>
    </w:p>
    <w:p>
      <w:pPr>
        <w:spacing w:after="90"/>
      </w:pPr>
      <w:r>
        <w:t xml:space="preserve"/>
      </w:r>
    </w:p>
    <w:p>
      <w:pPr>
        <w:spacing w:after="130"/>
      </w:pPr>
      <w:r>
        <w:t xml:space="preserve">Collateral offered consists of the two new tractors valued at $178,000, the two trailers valued at $52,000, and an existing 2020 tractor owned free and clear and valued at $61,000. The proposed term is 84 months at 11.5 percent, producing a monthly debt service of $4,311.84. Projected debt-service coverage ratios are 1.49 in year one, 1.62 in year two, and 1.71 in year three, based on steady-state monthly revenue of $62,496 and fixed monthly operating expenses of $28,930.</w:t>
      </w:r>
    </w:p>
    <w:p>
      <w:pPr>
        <w:spacing w:after="90"/>
      </w:pPr>
      <w:r>
        <w:t xml:space="preserve"/>
      </w:r>
    </w:p>
    <w:p>
      <w:pPr>
        <w:spacing w:after="130"/>
      </w:pPr>
      <w:r>
        <w:t xml:space="preserve">The expansion from one to three trucks is required to meet conditional offers for dedicated contract lanes that represent 64 percent of planned revenue. Under current authority, insurance expense is already reflected at $4,350 per month; the plan does not assume any reduction in that rate during the first two years. All other operating assumptions use the trailing-twelve-month realized rate of $2.38 per loaded mile as the starting point and apply only the documented growth in contracted volume.</w:t>
      </w:r>
    </w:p>
    <w:p>
      <w:pPr>
        <w:spacing w:after="90"/>
      </w:pPr>
      <w:r>
        <w:t xml:space="preserve"/>
      </w:r>
    </w:p>
    <w:p>
      <w:pPr>
        <w:pStyle w:val="Heading2"/>
        <w:spacing w:after="110" w:before="240"/>
      </w:pPr>
      <w:r>
        <w:t xml:space="preserve">Use of Funds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tblHeader/>
        </w:trPr>
        <w:tc>
          <w:tcPr>
            <w:tcW w:type="dxa" w:w="4680"/>
            <w:shd w:fill="0F4C5C" w:color="auto" w:val="clear"/>
            <w:tcMar>
              <w:top w:type="dxa" w:w="50"/>
              <w:left w:type="dxa" w:w="80"/>
              <w:bottom w:type="dxa" w:w="50"/>
              <w:right w:type="dxa" w:w="80"/>
            </w:tcMar>
          </w:tcPr>
          <w:p>
            <w:pPr>
              <w:spacing w:after="0"/>
              <w:jc w:val="left"/>
            </w:pPr>
            <w:r>
              <w:rPr>
                <w:b/>
                <w:bCs/>
                <w:color w:val="FFFFFF"/>
                <w:sz w:val="17"/>
                <w:szCs w:val="17"/>
              </w:rPr>
              <w:t xml:space="preserve">Use of funds</w:t>
            </w:r>
          </w:p>
        </w:tc>
        <w:tc>
          <w:tcPr>
            <w:tcW w:type="dxa" w:w="4680"/>
            <w:shd w:fill="0F4C5C" w:color="auto" w:val="clear"/>
            <w:tcMar>
              <w:top w:type="dxa" w:w="50"/>
              <w:left w:type="dxa" w:w="80"/>
              <w:bottom w:type="dxa" w:w="50"/>
              <w:right w:type="dxa" w:w="80"/>
            </w:tcMar>
          </w:tcPr>
          <w:p>
            <w:pPr>
              <w:spacing w:after="0"/>
              <w:jc w:val="right"/>
            </w:pPr>
            <w:r>
              <w:rPr>
                <w:b/>
                <w:bCs/>
                <w:color w:val="FFFFFF"/>
                <w:sz w:val="17"/>
                <w:szCs w:val="17"/>
              </w:rPr>
              <w:t xml:space="preserve">Amount</w:t>
            </w:r>
          </w:p>
        </w:tc>
      </w:tr>
      <w:tr>
        <w:tc>
          <w:tcPr>
            <w:tcW w:type="dxa" w:w="4680"/>
            <w:tcMar>
              <w:top w:type="dxa" w:w="50"/>
              <w:left w:type="dxa" w:w="80"/>
              <w:bottom w:type="dxa" w:w="50"/>
              <w:right w:type="dxa" w:w="80"/>
            </w:tcMar>
          </w:tcPr>
          <w:p>
            <w:pPr>
              <w:spacing w:after="0"/>
              <w:jc w:val="left"/>
            </w:pPr>
            <w:r>
              <w:rPr>
                <w:sz w:val="17"/>
                <w:szCs w:val="17"/>
              </w:rPr>
              <w:t xml:space="preserve">Two used sleeper tractors</w:t>
            </w:r>
          </w:p>
        </w:tc>
        <w:tc>
          <w:tcPr>
            <w:tcW w:type="dxa" w:w="4680"/>
            <w:tcMar>
              <w:top w:type="dxa" w:w="50"/>
              <w:left w:type="dxa" w:w="80"/>
              <w:bottom w:type="dxa" w:w="50"/>
              <w:right w:type="dxa" w:w="80"/>
            </w:tcMar>
          </w:tcPr>
          <w:p>
            <w:pPr>
              <w:spacing w:after="0"/>
              <w:jc w:val="right"/>
            </w:pPr>
            <w:r>
              <w:rPr>
                <w:sz w:val="17"/>
                <w:szCs w:val="17"/>
              </w:rPr>
              <w:t xml:space="preserve">$148,000</w:t>
            </w:r>
          </w:p>
        </w:tc>
      </w:tr>
      <w:tr>
        <w:tc>
          <w:tcPr>
            <w:tcW w:type="dxa" w:w="4680"/>
            <w:shd w:fill="EEF3F4" w:color="auto" w:val="clear"/>
            <w:tcMar>
              <w:top w:type="dxa" w:w="50"/>
              <w:left w:type="dxa" w:w="80"/>
              <w:bottom w:type="dxa" w:w="50"/>
              <w:right w:type="dxa" w:w="80"/>
            </w:tcMar>
          </w:tcPr>
          <w:p>
            <w:pPr>
              <w:spacing w:after="0"/>
              <w:jc w:val="left"/>
            </w:pPr>
            <w:r>
              <w:rPr>
                <w:sz w:val="17"/>
                <w:szCs w:val="17"/>
              </w:rPr>
              <w:t xml:space="preserve">Two 53ft dry-van trailers</w:t>
            </w:r>
          </w:p>
        </w:tc>
        <w:tc>
          <w:tcPr>
            <w:tcW w:type="dxa" w:w="4680"/>
            <w:shd w:fill="EEF3F4" w:color="auto" w:val="clear"/>
            <w:tcMar>
              <w:top w:type="dxa" w:w="50"/>
              <w:left w:type="dxa" w:w="80"/>
              <w:bottom w:type="dxa" w:w="50"/>
              <w:right w:type="dxa" w:w="80"/>
            </w:tcMar>
          </w:tcPr>
          <w:p>
            <w:pPr>
              <w:spacing w:after="0"/>
              <w:jc w:val="right"/>
            </w:pPr>
            <w:r>
              <w:rPr>
                <w:sz w:val="17"/>
                <w:szCs w:val="17"/>
              </w:rPr>
              <w:t xml:space="preserve">$52,000</w:t>
            </w:r>
          </w:p>
        </w:tc>
      </w:tr>
      <w:tr>
        <w:tc>
          <w:tcPr>
            <w:tcW w:type="dxa" w:w="4680"/>
            <w:tcMar>
              <w:top w:type="dxa" w:w="50"/>
              <w:left w:type="dxa" w:w="80"/>
              <w:bottom w:type="dxa" w:w="50"/>
              <w:right w:type="dxa" w:w="80"/>
            </w:tcMar>
          </w:tcPr>
          <w:p>
            <w:pPr>
              <w:spacing w:after="0"/>
              <w:jc w:val="left"/>
            </w:pPr>
            <w:r>
              <w:rPr>
                <w:sz w:val="17"/>
                <w:szCs w:val="17"/>
              </w:rPr>
              <w:t xml:space="preserve">Insurance down payment and factoring escrow</w:t>
            </w:r>
          </w:p>
        </w:tc>
        <w:tc>
          <w:tcPr>
            <w:tcW w:type="dxa" w:w="4680"/>
            <w:tcMar>
              <w:top w:type="dxa" w:w="50"/>
              <w:left w:type="dxa" w:w="80"/>
              <w:bottom w:type="dxa" w:w="50"/>
              <w:right w:type="dxa" w:w="80"/>
            </w:tcMar>
          </w:tcPr>
          <w:p>
            <w:pPr>
              <w:spacing w:after="0"/>
              <w:jc w:val="right"/>
            </w:pPr>
            <w:r>
              <w:rPr>
                <w:sz w:val="17"/>
                <w:szCs w:val="17"/>
              </w:rPr>
              <w:t xml:space="preserve">$21,000</w:t>
            </w:r>
          </w:p>
        </w:tc>
      </w:tr>
      <w:tr>
        <w:tc>
          <w:tcPr>
            <w:tcW w:type="dxa" w:w="4680"/>
            <w:shd w:fill="EEF3F4" w:color="auto" w:val="clear"/>
            <w:tcMar>
              <w:top w:type="dxa" w:w="50"/>
              <w:left w:type="dxa" w:w="80"/>
              <w:bottom w:type="dxa" w:w="50"/>
              <w:right w:type="dxa" w:w="80"/>
            </w:tcMar>
          </w:tcPr>
          <w:p>
            <w:pPr>
              <w:spacing w:after="0"/>
              <w:jc w:val="left"/>
            </w:pPr>
            <w:r>
              <w:rPr>
                <w:sz w:val="17"/>
                <w:szCs w:val="17"/>
              </w:rPr>
              <w:t xml:space="preserve">ELD, cameras, compliance and lettering</w:t>
            </w:r>
          </w:p>
        </w:tc>
        <w:tc>
          <w:tcPr>
            <w:tcW w:type="dxa" w:w="4680"/>
            <w:shd w:fill="EEF3F4" w:color="auto" w:val="clear"/>
            <w:tcMar>
              <w:top w:type="dxa" w:w="50"/>
              <w:left w:type="dxa" w:w="80"/>
              <w:bottom w:type="dxa" w:w="50"/>
              <w:right w:type="dxa" w:w="80"/>
            </w:tcMar>
          </w:tcPr>
          <w:p>
            <w:pPr>
              <w:spacing w:after="0"/>
              <w:jc w:val="right"/>
            </w:pPr>
            <w:r>
              <w:rPr>
                <w:sz w:val="17"/>
                <w:szCs w:val="17"/>
              </w:rPr>
              <w:t xml:space="preserve">$9,800</w:t>
            </w:r>
          </w:p>
        </w:tc>
      </w:tr>
      <w:tr>
        <w:tc>
          <w:tcPr>
            <w:tcW w:type="dxa" w:w="4680"/>
            <w:tcMar>
              <w:top w:type="dxa" w:w="50"/>
              <w:left w:type="dxa" w:w="80"/>
              <w:bottom w:type="dxa" w:w="50"/>
              <w:right w:type="dxa" w:w="80"/>
            </w:tcMar>
          </w:tcPr>
          <w:p>
            <w:pPr>
              <w:spacing w:after="0"/>
              <w:jc w:val="left"/>
            </w:pPr>
            <w:r>
              <w:rPr>
                <w:sz w:val="17"/>
                <w:szCs w:val="17"/>
              </w:rPr>
              <w:t xml:space="preserve">Working capital for the first 60 days of fuel</w:t>
            </w:r>
          </w:p>
        </w:tc>
        <w:tc>
          <w:tcPr>
            <w:tcW w:type="dxa" w:w="4680"/>
            <w:tcMar>
              <w:top w:type="dxa" w:w="50"/>
              <w:left w:type="dxa" w:w="80"/>
              <w:bottom w:type="dxa" w:w="50"/>
              <w:right w:type="dxa" w:w="80"/>
            </w:tcMar>
          </w:tcPr>
          <w:p>
            <w:pPr>
              <w:spacing w:after="0"/>
              <w:jc w:val="right"/>
            </w:pPr>
            <w:r>
              <w:rPr>
                <w:sz w:val="17"/>
                <w:szCs w:val="17"/>
              </w:rPr>
              <w:t xml:space="preserve">$17,200</w:t>
            </w:r>
          </w:p>
        </w:tc>
      </w:tr>
      <w:tr>
        <w:tc>
          <w:tcPr>
            <w:tcW w:type="dxa" w:w="4680"/>
            <w:shd w:fill="EEF3F4" w:color="auto" w:val="clear"/>
            <w:tcMar>
              <w:top w:type="dxa" w:w="50"/>
              <w:left w:type="dxa" w:w="80"/>
              <w:bottom w:type="dxa" w:w="50"/>
              <w:right w:type="dxa" w:w="80"/>
            </w:tcMar>
          </w:tcPr>
          <w:p>
            <w:pPr>
              <w:spacing w:after="0"/>
              <w:jc w:val="left"/>
            </w:pPr>
            <w:r>
              <w:rPr>
                <w:b/>
                <w:bCs/>
                <w:sz w:val="17"/>
                <w:szCs w:val="17"/>
              </w:rPr>
              <w:t xml:space="preserve">Total</w:t>
            </w:r>
          </w:p>
        </w:tc>
        <w:tc>
          <w:tcPr>
            <w:tcW w:type="dxa" w:w="4680"/>
            <w:shd w:fill="EEF3F4" w:color="auto" w:val="clear"/>
            <w:tcMar>
              <w:top w:type="dxa" w:w="50"/>
              <w:left w:type="dxa" w:w="80"/>
              <w:bottom w:type="dxa" w:w="50"/>
              <w:right w:type="dxa" w:w="80"/>
            </w:tcMar>
          </w:tcPr>
          <w:p>
            <w:pPr>
              <w:spacing w:after="0"/>
              <w:jc w:val="right"/>
            </w:pPr>
            <w:r>
              <w:rPr>
                <w:b/>
                <w:bCs/>
                <w:sz w:val="17"/>
                <w:szCs w:val="17"/>
              </w:rPr>
              <w:t xml:space="preserve">$248,000</w:t>
            </w:r>
          </w:p>
        </w:tc>
      </w:tr>
      <w:tr>
        <w:tc>
          <w:tcPr>
            <w:tcW w:type="dxa" w:w="4680"/>
            <w:tcMar>
              <w:top w:type="dxa" w:w="50"/>
              <w:left w:type="dxa" w:w="80"/>
              <w:bottom w:type="dxa" w:w="50"/>
              <w:right w:type="dxa" w:w="80"/>
            </w:tcMar>
          </w:tcPr>
          <w:p>
            <w:pPr>
              <w:spacing w:after="0"/>
              <w:jc w:val="left"/>
            </w:pPr>
            <w:r>
              <w:rPr>
                <w:sz w:val="17"/>
                <w:szCs w:val="17"/>
              </w:rPr>
              <w:t xml:space="preserve">Loan requested</w:t>
            </w:r>
          </w:p>
        </w:tc>
        <w:tc>
          <w:tcPr>
            <w:tcW w:type="dxa" w:w="4680"/>
            <w:tcMar>
              <w:top w:type="dxa" w:w="50"/>
              <w:left w:type="dxa" w:w="80"/>
              <w:bottom w:type="dxa" w:w="50"/>
              <w:right w:type="dxa" w:w="80"/>
            </w:tcMar>
          </w:tcPr>
          <w:p>
            <w:pPr>
              <w:spacing w:after="0"/>
              <w:jc w:val="right"/>
            </w:pPr>
            <w:r>
              <w:rPr>
                <w:sz w:val="17"/>
                <w:szCs w:val="17"/>
              </w:rPr>
              <w:t xml:space="preserve">$248,000</w:t>
            </w:r>
          </w:p>
        </w:tc>
      </w:tr>
    </w:tbl>
    <w:p>
      <w:pPr>
        <w:spacing w:after="140"/>
      </w:pPr>
      <w:r>
        <w:t xml:space="preserve"/>
      </w:r>
    </w:p>
    <w:p>
      <w:pPr>
        <w:spacing w:after="90"/>
      </w:pPr>
      <w:r>
        <w:t xml:space="preserve"/>
      </w:r>
    </w:p>
    <w:p>
      <w:pPr>
        <w:pStyle w:val="Heading2"/>
        <w:spacing w:after="110" w:before="240"/>
      </w:pPr>
      <w:r>
        <w:t xml:space="preserve">Debt Service Coverage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rPr>
          <w:tblHeader/>
        </w:trPr>
        <w:tc>
          <w:tcPr>
            <w:tcW w:type="dxa" w:w="2340"/>
            <w:shd w:fill="0F4C5C" w:color="auto" w:val="clear"/>
            <w:tcMar>
              <w:top w:type="dxa" w:w="50"/>
              <w:left w:type="dxa" w:w="80"/>
              <w:bottom w:type="dxa" w:w="50"/>
              <w:right w:type="dxa" w:w="80"/>
            </w:tcMar>
          </w:tcPr>
          <w:p>
            <w:pPr>
              <w:spacing w:after="0"/>
              <w:jc w:val="left"/>
            </w:pPr>
            <w:r>
              <w:rPr>
                <w:b/>
                <w:bCs/>
                <w:color w:val="FFFFFF"/>
                <w:sz w:val="17"/>
                <w:szCs w:val="17"/>
              </w:rPr>
              <w:t xml:space="preserve">Debt service coverage</w:t>
            </w:r>
          </w:p>
        </w:tc>
        <w:tc>
          <w:tcPr>
            <w:tcW w:type="dxa" w:w="2340"/>
            <w:shd w:fill="0F4C5C" w:color="auto" w:val="clear"/>
            <w:tcMar>
              <w:top w:type="dxa" w:w="50"/>
              <w:left w:type="dxa" w:w="80"/>
              <w:bottom w:type="dxa" w:w="50"/>
              <w:right w:type="dxa" w:w="80"/>
            </w:tcMar>
          </w:tcPr>
          <w:p>
            <w:pPr>
              <w:spacing w:after="0"/>
              <w:jc w:val="right"/>
            </w:pPr>
            <w:r>
              <w:rPr>
                <w:b/>
                <w:bCs/>
                <w:color w:val="FFFFFF"/>
                <w:sz w:val="17"/>
                <w:szCs w:val="17"/>
              </w:rPr>
              <w:t xml:space="preserve">Year 1</w:t>
            </w:r>
          </w:p>
        </w:tc>
        <w:tc>
          <w:tcPr>
            <w:tcW w:type="dxa" w:w="2340"/>
            <w:shd w:fill="0F4C5C" w:color="auto" w:val="clear"/>
            <w:tcMar>
              <w:top w:type="dxa" w:w="50"/>
              <w:left w:type="dxa" w:w="80"/>
              <w:bottom w:type="dxa" w:w="50"/>
              <w:right w:type="dxa" w:w="80"/>
            </w:tcMar>
          </w:tcPr>
          <w:p>
            <w:pPr>
              <w:spacing w:after="0"/>
              <w:jc w:val="right"/>
            </w:pPr>
            <w:r>
              <w:rPr>
                <w:b/>
                <w:bCs/>
                <w:color w:val="FFFFFF"/>
                <w:sz w:val="17"/>
                <w:szCs w:val="17"/>
              </w:rPr>
              <w:t xml:space="preserve">Year 2</w:t>
            </w:r>
          </w:p>
        </w:tc>
        <w:tc>
          <w:tcPr>
            <w:tcW w:type="dxa" w:w="2340"/>
            <w:shd w:fill="0F4C5C" w:color="auto" w:val="clear"/>
            <w:tcMar>
              <w:top w:type="dxa" w:w="50"/>
              <w:left w:type="dxa" w:w="80"/>
              <w:bottom w:type="dxa" w:w="50"/>
              <w:right w:type="dxa" w:w="80"/>
            </w:tcMar>
          </w:tcPr>
          <w:p>
            <w:pPr>
              <w:spacing w:after="0"/>
              <w:jc w:val="right"/>
            </w:pPr>
            <w:r>
              <w:rPr>
                <w:b/>
                <w:bCs/>
                <w:color w:val="FFFFFF"/>
                <w:sz w:val="17"/>
                <w:szCs w:val="17"/>
              </w:rPr>
              <w:t xml:space="preserve">Year 3</w:t>
            </w:r>
          </w:p>
        </w:tc>
      </w:tr>
      <w:tr>
        <w:tc>
          <w:tcPr>
            <w:tcW w:type="dxa" w:w="2340"/>
            <w:tcMar>
              <w:top w:type="dxa" w:w="50"/>
              <w:left w:type="dxa" w:w="80"/>
              <w:bottom w:type="dxa" w:w="50"/>
              <w:right w:type="dxa" w:w="80"/>
            </w:tcMar>
          </w:tcPr>
          <w:p>
            <w:pPr>
              <w:spacing w:after="0"/>
              <w:jc w:val="left"/>
            </w:pPr>
            <w:r>
              <w:rPr>
                <w:sz w:val="17"/>
                <w:szCs w:val="17"/>
              </w:rPr>
              <w:t xml:space="preserve">DSCR</w:t>
            </w:r>
          </w:p>
        </w:tc>
        <w:tc>
          <w:tcPr>
            <w:tcW w:type="dxa" w:w="2340"/>
            <w:tcMar>
              <w:top w:type="dxa" w:w="50"/>
              <w:left w:type="dxa" w:w="80"/>
              <w:bottom w:type="dxa" w:w="50"/>
              <w:right w:type="dxa" w:w="80"/>
            </w:tcMar>
          </w:tcPr>
          <w:p>
            <w:pPr>
              <w:spacing w:after="0"/>
              <w:jc w:val="right"/>
            </w:pPr>
            <w:r>
              <w:rPr>
                <w:sz w:val="17"/>
                <w:szCs w:val="17"/>
              </w:rPr>
              <w:t xml:space="preserve">1.49</w:t>
            </w:r>
          </w:p>
        </w:tc>
        <w:tc>
          <w:tcPr>
            <w:tcW w:type="dxa" w:w="2340"/>
            <w:tcMar>
              <w:top w:type="dxa" w:w="50"/>
              <w:left w:type="dxa" w:w="80"/>
              <w:bottom w:type="dxa" w:w="50"/>
              <w:right w:type="dxa" w:w="80"/>
            </w:tcMar>
          </w:tcPr>
          <w:p>
            <w:pPr>
              <w:spacing w:after="0"/>
              <w:jc w:val="right"/>
            </w:pPr>
            <w:r>
              <w:rPr>
                <w:sz w:val="17"/>
                <w:szCs w:val="17"/>
              </w:rPr>
              <w:t xml:space="preserve">1.62</w:t>
            </w:r>
          </w:p>
        </w:tc>
        <w:tc>
          <w:tcPr>
            <w:tcW w:type="dxa" w:w="2340"/>
            <w:tcMar>
              <w:top w:type="dxa" w:w="50"/>
              <w:left w:type="dxa" w:w="80"/>
              <w:bottom w:type="dxa" w:w="50"/>
              <w:right w:type="dxa" w:w="80"/>
            </w:tcMar>
          </w:tcPr>
          <w:p>
            <w:pPr>
              <w:spacing w:after="0"/>
              <w:jc w:val="right"/>
            </w:pPr>
            <w:r>
              <w:rPr>
                <w:sz w:val="17"/>
                <w:szCs w:val="17"/>
              </w:rPr>
              <w:t xml:space="preserve">1.71</w:t>
            </w:r>
          </w:p>
        </w:tc>
      </w:tr>
      <w:tr>
        <w:tc>
          <w:tcPr>
            <w:tcW w:type="dxa" w:w="2340"/>
            <w:shd w:fill="EEF3F4" w:color="auto" w:val="clear"/>
            <w:tcMar>
              <w:top w:type="dxa" w:w="50"/>
              <w:left w:type="dxa" w:w="80"/>
              <w:bottom w:type="dxa" w:w="50"/>
              <w:right w:type="dxa" w:w="80"/>
            </w:tcMar>
          </w:tcPr>
          <w:p>
            <w:pPr>
              <w:spacing w:after="0"/>
              <w:jc w:val="left"/>
            </w:pPr>
            <w:r>
              <w:rPr>
                <w:sz w:val="17"/>
                <w:szCs w:val="17"/>
              </w:rPr>
              <w:t xml:space="preserve">Lender floor</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1.25</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1.25</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1.25</w:t>
            </w:r>
          </w:p>
        </w:tc>
      </w:tr>
    </w:tbl>
    <w:p>
      <w:pPr>
        <w:spacing w:after="140"/>
      </w:pPr>
      <w:r>
        <w:t xml:space="preserve"/>
      </w:r>
    </w:p>
    <w:p>
      <w:pPr>
        <w:spacing w:after="90"/>
      </w:pPr>
      <w:r>
        <w:t xml:space="preserve"/>
      </w:r>
    </w:p>
    <w:p>
      <w:pPr>
        <w:pStyle w:val="Heading1"/>
        <w:spacing w:after="140" w:before="320"/>
      </w:pPr>
      <w:r>
        <w:t xml:space="preserve">Risk Analysis and Mitigation</w:t>
      </w:r>
    </w:p>
    <w:p>
      <w:pPr>
        <w:spacing w:after="130"/>
      </w:pPr>
      <w:r>
        <w:t xml:space="preserve">The principal risks in this expansion arise from scaling operations under a new motor carrier authority, elevated insurance costs during the first two years, and the need to manage drivers for the first time. New authorities face materially higher insurance premiums, reflected in the $4,350 monthly insurance line item. This cost structure must be absorbed while the business converts spot miles to contracted lanes and reaches steady-state volume of 25,200 loaded miles per month.</w:t>
      </w:r>
    </w:p>
    <w:p>
      <w:pPr>
        <w:spacing w:after="90"/>
      </w:pPr>
      <w:r>
        <w:t xml:space="preserve"/>
      </w:r>
    </w:p>
    <w:p>
      <w:pPr>
        <w:spacing w:after="130"/>
      </w:pPr>
      <w:r>
        <w:t xml:space="preserve">Management inexperience with non-owner drivers is addressed by budgeting a part-time dispatcher at month three and outsourcing bookkeeping to a specialized CPA. These steps limit the owner’s simultaneous duties as driver and supervisor. Used equipment acquisition carries repair and downtime exposure, mitigated by the $14,000 contingency line and pre-purchase inspections on the 2021 and 2022 tractors.</w:t>
      </w:r>
    </w:p>
    <w:p>
      <w:pPr>
        <w:spacing w:after="90"/>
      </w:pPr>
      <w:r>
        <w:t xml:space="preserve"/>
      </w:r>
    </w:p>
    <w:p>
      <w:pPr>
        <w:spacing w:after="130"/>
      </w:pPr>
      <w:r>
        <w:t xml:space="preserve">Seasonality produces an 81 percent low-month revenue floor relative to peak, and 27 percent of planned revenue remains spot-market exposure. The plan counters this through the 64 percent contracted share and the two dedicated-lane offers that become available once the second and third trucks are in service. Fixed monthly operating costs of $28,930 produce a break-even revenue requirement of $46,577, reached in month five under the stated utilization and rate assumptions. Year-one debt-service coverage of 1.49 provides a modest but positive margin above the $4,312 monthly obligation.</w:t>
      </w:r>
    </w:p>
    <w:p>
      <w:pPr>
        <w:spacing w:after="90"/>
      </w:pPr>
      <w:r>
        <w:t xml:space="preserve"/>
      </w:r>
    </w:p>
    <w:p>
      <w:pPr>
        <w:spacing w:after="130"/>
      </w:pPr>
      <w:r>
        <w:t xml:space="preserve">Collateral consists of the two new tractors, two trailers, and the existing 2020 tractor, all pledged to the lender. Owner cash injection of $73,000 supplies 22.76 percent of the total startup requirement. These elements limit lender exposure while the operation stabilizes.</w:t>
      </w:r>
    </w:p>
    <w:p>
      <w:pPr>
        <w:spacing w:after="90"/>
      </w:pPr>
      <w:r>
        <w:t xml:space="preserve"/>
      </w:r>
    </w:p>
    <w:p>
      <w:pPr>
        <w:pStyle w:val="Heading1"/>
        <w:spacing w:after="140" w:before="320"/>
      </w:pPr>
      <w:r>
        <w:t xml:space="preserve">Assumptions Register</w:t>
      </w:r>
    </w:p>
    <w:p>
      <w:pPr>
        <w:spacing w:after="130"/>
      </w:pPr>
      <w:r>
        <w:t xml:space="preserve">Every figure below is either something you told us, something your documents confirmed, or a benchmark default with its source named. The last column is what happens if the assumption turns out 20% worse.</w:t>
      </w:r>
    </w:p>
    <w:p>
      <w:pPr>
        <w:spacing w:after="9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rPr>
          <w:tblHeader/>
        </w:trPr>
        <w:tc>
          <w:tcPr>
            <w:tcW w:type="dxa" w:w="2340"/>
            <w:shd w:fill="0F4C5C" w:color="auto" w:val="clear"/>
            <w:tcMar>
              <w:top w:type="dxa" w:w="50"/>
              <w:left w:type="dxa" w:w="80"/>
              <w:bottom w:type="dxa" w:w="50"/>
              <w:right w:type="dxa" w:w="80"/>
            </w:tcMar>
          </w:tcPr>
          <w:p>
            <w:pPr>
              <w:spacing w:after="0"/>
              <w:jc w:val="left"/>
            </w:pPr>
            <w:r>
              <w:rPr>
                <w:b/>
                <w:bCs/>
                <w:color w:val="FFFFFF"/>
                <w:sz w:val="17"/>
                <w:szCs w:val="17"/>
              </w:rPr>
              <w:t xml:space="preserve">Assumption</w:t>
            </w:r>
          </w:p>
        </w:tc>
        <w:tc>
          <w:tcPr>
            <w:tcW w:type="dxa" w:w="2340"/>
            <w:shd w:fill="0F4C5C" w:color="auto" w:val="clear"/>
            <w:tcMar>
              <w:top w:type="dxa" w:w="50"/>
              <w:left w:type="dxa" w:w="80"/>
              <w:bottom w:type="dxa" w:w="50"/>
              <w:right w:type="dxa" w:w="80"/>
            </w:tcMar>
          </w:tcPr>
          <w:p>
            <w:pPr>
              <w:spacing w:after="0"/>
              <w:jc w:val="right"/>
            </w:pPr>
            <w:r>
              <w:rPr>
                <w:b/>
                <w:bCs/>
                <w:color w:val="FFFFFF"/>
                <w:sz w:val="17"/>
                <w:szCs w:val="17"/>
              </w:rPr>
              <w:t xml:space="preserve">Value</w:t>
            </w:r>
          </w:p>
        </w:tc>
        <w:tc>
          <w:tcPr>
            <w:tcW w:type="dxa" w:w="2340"/>
            <w:shd w:fill="0F4C5C" w:color="auto" w:val="clear"/>
            <w:tcMar>
              <w:top w:type="dxa" w:w="50"/>
              <w:left w:type="dxa" w:w="80"/>
              <w:bottom w:type="dxa" w:w="50"/>
              <w:right w:type="dxa" w:w="80"/>
            </w:tcMar>
          </w:tcPr>
          <w:p>
            <w:pPr>
              <w:spacing w:after="0"/>
              <w:jc w:val="right"/>
            </w:pPr>
            <w:r>
              <w:rPr>
                <w:b/>
                <w:bCs/>
                <w:color w:val="FFFFFF"/>
                <w:sz w:val="17"/>
                <w:szCs w:val="17"/>
              </w:rPr>
              <w:t xml:space="preserve">Source</w:t>
            </w:r>
          </w:p>
        </w:tc>
        <w:tc>
          <w:tcPr>
            <w:tcW w:type="dxa" w:w="2340"/>
            <w:shd w:fill="0F4C5C" w:color="auto" w:val="clear"/>
            <w:tcMar>
              <w:top w:type="dxa" w:w="50"/>
              <w:left w:type="dxa" w:w="80"/>
              <w:bottom w:type="dxa" w:w="50"/>
              <w:right w:type="dxa" w:w="80"/>
            </w:tcMar>
          </w:tcPr>
          <w:p>
            <w:pPr>
              <w:spacing w:after="0"/>
              <w:jc w:val="right"/>
            </w:pPr>
            <w:r>
              <w:rPr>
                <w:b/>
                <w:bCs/>
                <w:color w:val="FFFFFF"/>
                <w:sz w:val="17"/>
                <w:szCs w:val="17"/>
              </w:rPr>
              <w:t xml:space="preserve">If it is 20% worse</w:t>
            </w:r>
          </w:p>
        </w:tc>
      </w:tr>
      <w:tr>
        <w:tc>
          <w:tcPr>
            <w:tcW w:type="dxa" w:w="2340"/>
            <w:tcMar>
              <w:top w:type="dxa" w:w="50"/>
              <w:left w:type="dxa" w:w="80"/>
              <w:bottom w:type="dxa" w:w="50"/>
              <w:right w:type="dxa" w:w="80"/>
            </w:tcMar>
          </w:tcPr>
          <w:p>
            <w:pPr>
              <w:spacing w:after="0"/>
              <w:jc w:val="left"/>
            </w:pPr>
            <w:r>
              <w:rPr>
                <w:sz w:val="17"/>
                <w:szCs w:val="17"/>
              </w:rPr>
              <w:t xml:space="preserve">What will you charge for one unit?</w:t>
            </w:r>
          </w:p>
        </w:tc>
        <w:tc>
          <w:tcPr>
            <w:tcW w:type="dxa" w:w="2340"/>
            <w:tcMar>
              <w:top w:type="dxa" w:w="50"/>
              <w:left w:type="dxa" w:w="80"/>
              <w:bottom w:type="dxa" w:w="50"/>
              <w:right w:type="dxa" w:w="80"/>
            </w:tcMar>
          </w:tcPr>
          <w:p>
            <w:pPr>
              <w:spacing w:after="0"/>
              <w:jc w:val="right"/>
            </w:pPr>
            <w:r>
              <w:rPr>
                <w:sz w:val="17"/>
                <w:szCs w:val="17"/>
              </w:rPr>
              <w:t xml:space="preserve">2.48</w:t>
            </w:r>
          </w:p>
        </w:tc>
        <w:tc>
          <w:tcPr>
            <w:tcW w:type="dxa" w:w="2340"/>
            <w:tcMar>
              <w:top w:type="dxa" w:w="50"/>
              <w:left w:type="dxa" w:w="80"/>
              <w:bottom w:type="dxa" w:w="50"/>
              <w:right w:type="dxa" w:w="80"/>
            </w:tcMar>
          </w:tcPr>
          <w:p>
            <w:pPr>
              <w:spacing w:after="0"/>
              <w:jc w:val="right"/>
            </w:pPr>
            <w:r>
              <w:rPr>
                <w:sz w:val="17"/>
                <w:szCs w:val="17"/>
              </w:rPr>
              <w:t xml:space="preserve">Provided by the operator</w:t>
            </w:r>
          </w:p>
        </w:tc>
        <w:tc>
          <w:tcPr>
            <w:tcW w:type="dxa" w:w="2340"/>
            <w:tcMar>
              <w:top w:type="dxa" w:w="50"/>
              <w:left w:type="dxa" w:w="80"/>
              <w:bottom w:type="dxa" w:w="50"/>
              <w:right w:type="dxa" w:w="80"/>
            </w:tcMar>
          </w:tcPr>
          <w:p>
            <w:pPr>
              <w:spacing w:after="0"/>
              <w:jc w:val="right"/>
            </w:pPr>
            <w:r>
              <w:rPr>
                <w:sz w:val="17"/>
                <w:szCs w:val="17"/>
              </w:rPr>
              <w:t xml:space="preserve">DSCR 1.49 → -0.81; cash low point $-47,324</w:t>
            </w:r>
          </w:p>
        </w:tc>
      </w:tr>
      <w:tr>
        <w:tc>
          <w:tcPr>
            <w:tcW w:type="dxa" w:w="2340"/>
            <w:shd w:fill="EEF3F4" w:color="auto" w:val="clear"/>
            <w:tcMar>
              <w:top w:type="dxa" w:w="50"/>
              <w:left w:type="dxa" w:w="80"/>
              <w:bottom w:type="dxa" w:w="50"/>
              <w:right w:type="dxa" w:w="80"/>
            </w:tcMar>
          </w:tcPr>
          <w:p>
            <w:pPr>
              <w:spacing w:after="0"/>
              <w:jc w:val="left"/>
            </w:pPr>
            <w:r>
              <w:rPr>
                <w:sz w:val="17"/>
                <w:szCs w:val="17"/>
              </w:rPr>
              <w:t xml:space="preserve">What does it cost you in materials and direct labour to deliver ONE unit?</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0.71</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Provided by the operator</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DSCR 1.49 → 0.83; cash low point $1,374</w:t>
            </w:r>
          </w:p>
        </w:tc>
      </w:tr>
      <w:tr>
        <w:tc>
          <w:tcPr>
            <w:tcW w:type="dxa" w:w="2340"/>
            <w:tcMar>
              <w:top w:type="dxa" w:w="50"/>
              <w:left w:type="dxa" w:w="80"/>
              <w:bottom w:type="dxa" w:w="50"/>
              <w:right w:type="dxa" w:w="80"/>
            </w:tcMar>
          </w:tcPr>
          <w:p>
            <w:pPr>
              <w:spacing w:after="0"/>
              <w:jc w:val="left"/>
            </w:pPr>
            <w:r>
              <w:rPr>
                <w:sz w:val="17"/>
                <w:szCs w:val="17"/>
              </w:rPr>
              <w:t xml:space="preserve">And once you are established — units per month?</w:t>
            </w:r>
          </w:p>
        </w:tc>
        <w:tc>
          <w:tcPr>
            <w:tcW w:type="dxa" w:w="2340"/>
            <w:tcMar>
              <w:top w:type="dxa" w:w="50"/>
              <w:left w:type="dxa" w:w="80"/>
              <w:bottom w:type="dxa" w:w="50"/>
              <w:right w:type="dxa" w:w="80"/>
            </w:tcMar>
          </w:tcPr>
          <w:p>
            <w:pPr>
              <w:spacing w:after="0"/>
              <w:jc w:val="right"/>
            </w:pPr>
            <w:r>
              <w:rPr>
                <w:sz w:val="17"/>
                <w:szCs w:val="17"/>
              </w:rPr>
              <w:t xml:space="preserve">25200</w:t>
            </w:r>
          </w:p>
        </w:tc>
        <w:tc>
          <w:tcPr>
            <w:tcW w:type="dxa" w:w="2340"/>
            <w:tcMar>
              <w:top w:type="dxa" w:w="50"/>
              <w:left w:type="dxa" w:w="80"/>
              <w:bottom w:type="dxa" w:w="50"/>
              <w:right w:type="dxa" w:w="80"/>
            </w:tcMar>
          </w:tcPr>
          <w:p>
            <w:pPr>
              <w:spacing w:after="0"/>
              <w:jc w:val="right"/>
            </w:pPr>
            <w:r>
              <w:rPr>
                <w:sz w:val="17"/>
                <w:szCs w:val="17"/>
              </w:rPr>
              <w:t xml:space="preserve">Provided by the operator</w:t>
            </w:r>
          </w:p>
        </w:tc>
        <w:tc>
          <w:tcPr>
            <w:tcW w:type="dxa" w:w="2340"/>
            <w:tcMar>
              <w:top w:type="dxa" w:w="50"/>
              <w:left w:type="dxa" w:w="80"/>
              <w:bottom w:type="dxa" w:w="50"/>
              <w:right w:type="dxa" w:w="80"/>
            </w:tcMar>
          </w:tcPr>
          <w:p>
            <w:pPr>
              <w:spacing w:after="0"/>
              <w:jc w:val="right"/>
            </w:pPr>
            <w:r>
              <w:rPr>
                <w:sz w:val="17"/>
                <w:szCs w:val="17"/>
              </w:rPr>
              <w:t xml:space="preserve">DSCR 1.49 → 0.05; cash low point $-2,699</w:t>
            </w:r>
          </w:p>
        </w:tc>
      </w:tr>
      <w:tr>
        <w:tc>
          <w:tcPr>
            <w:tcW w:type="dxa" w:w="2340"/>
            <w:shd w:fill="EEF3F4" w:color="auto" w:val="clear"/>
            <w:tcMar>
              <w:top w:type="dxa" w:w="50"/>
              <w:left w:type="dxa" w:w="80"/>
              <w:bottom w:type="dxa" w:w="50"/>
              <w:right w:type="dxa" w:w="80"/>
            </w:tcMar>
          </w:tcPr>
          <w:p>
            <w:pPr>
              <w:spacing w:after="0"/>
              <w:jc w:val="left"/>
            </w:pPr>
            <w:r>
              <w:rPr>
                <w:sz w:val="17"/>
                <w:szCs w:val="17"/>
              </w:rPr>
              <w:t xml:space="preserve">Monthly payroll (excluding you)?</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13000</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Provided by the operator</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DSCR 1.49 → 0.89; cash low point $-1,338</w:t>
            </w:r>
          </w:p>
        </w:tc>
      </w:tr>
      <w:tr>
        <w:tc>
          <w:tcPr>
            <w:tcW w:type="dxa" w:w="2340"/>
            <w:tcMar>
              <w:top w:type="dxa" w:w="50"/>
              <w:left w:type="dxa" w:w="80"/>
              <w:bottom w:type="dxa" w:w="50"/>
              <w:right w:type="dxa" w:w="80"/>
            </w:tcMar>
          </w:tcPr>
          <w:p>
            <w:pPr>
              <w:spacing w:after="0"/>
              <w:jc w:val="left"/>
            </w:pPr>
            <w:r>
              <w:rPr>
                <w:sz w:val="17"/>
                <w:szCs w:val="17"/>
              </w:rPr>
              <w:t xml:space="preserve">What is the monthly rent?</w:t>
            </w:r>
          </w:p>
        </w:tc>
        <w:tc>
          <w:tcPr>
            <w:tcW w:type="dxa" w:w="2340"/>
            <w:tcMar>
              <w:top w:type="dxa" w:w="50"/>
              <w:left w:type="dxa" w:w="80"/>
              <w:bottom w:type="dxa" w:w="50"/>
              <w:right w:type="dxa" w:w="80"/>
            </w:tcMar>
          </w:tcPr>
          <w:p>
            <w:pPr>
              <w:spacing w:after="0"/>
              <w:jc w:val="right"/>
            </w:pPr>
            <w:r>
              <w:rPr>
                <w:sz w:val="17"/>
                <w:szCs w:val="17"/>
              </w:rPr>
              <w:t xml:space="preserve">0</w:t>
            </w:r>
          </w:p>
        </w:tc>
        <w:tc>
          <w:tcPr>
            <w:tcW w:type="dxa" w:w="2340"/>
            <w:tcMar>
              <w:top w:type="dxa" w:w="50"/>
              <w:left w:type="dxa" w:w="80"/>
              <w:bottom w:type="dxa" w:w="50"/>
              <w:right w:type="dxa" w:w="80"/>
            </w:tcMar>
          </w:tcPr>
          <w:p>
            <w:pPr>
              <w:spacing w:after="0"/>
              <w:jc w:val="right"/>
            </w:pPr>
            <w:r>
              <w:rPr>
                <w:sz w:val="17"/>
                <w:szCs w:val="17"/>
              </w:rPr>
              <w:t xml:space="preserve">Provided by the operator</w:t>
            </w:r>
          </w:p>
        </w:tc>
        <w:tc>
          <w:tcPr>
            <w:tcW w:type="dxa" w:w="2340"/>
            <w:tcMar>
              <w:top w:type="dxa" w:w="50"/>
              <w:left w:type="dxa" w:w="80"/>
              <w:bottom w:type="dxa" w:w="50"/>
              <w:right w:type="dxa" w:w="80"/>
            </w:tcMar>
          </w:tcPr>
          <w:p>
            <w:pPr>
              <w:spacing w:after="0"/>
              <w:jc w:val="right"/>
            </w:pPr>
            <w:r>
              <w:rPr>
                <w:sz w:val="17"/>
                <w:szCs w:val="17"/>
              </w:rPr>
              <w:t xml:space="preserve">DSCR 1.49 → 1.49; cash low point $9,062</w:t>
            </w:r>
          </w:p>
        </w:tc>
      </w:tr>
      <w:tr>
        <w:tc>
          <w:tcPr>
            <w:tcW w:type="dxa" w:w="2340"/>
            <w:shd w:fill="EEF3F4" w:color="auto" w:val="clear"/>
            <w:tcMar>
              <w:top w:type="dxa" w:w="50"/>
              <w:left w:type="dxa" w:w="80"/>
              <w:bottom w:type="dxa" w:w="50"/>
              <w:right w:type="dxa" w:w="80"/>
            </w:tcMar>
          </w:tcPr>
          <w:p>
            <w:pPr>
              <w:spacing w:after="0"/>
              <w:jc w:val="left"/>
            </w:pPr>
            <w:r>
              <w:rPr>
                <w:sz w:val="17"/>
                <w:szCs w:val="17"/>
              </w:rPr>
              <w:t xml:space="preserve">Cost of goods as % of revenue</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28.6%</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Industry band 30–45% — American Trucking Associations, operational cost reporting, 2025</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Outside the band; expect to be asked about it</w:t>
            </w:r>
          </w:p>
        </w:tc>
      </w:tr>
      <w:tr>
        <w:tc>
          <w:tcPr>
            <w:tcW w:type="dxa" w:w="2340"/>
            <w:tcMar>
              <w:top w:type="dxa" w:w="50"/>
              <w:left w:type="dxa" w:w="80"/>
              <w:bottom w:type="dxa" w:w="50"/>
              <w:right w:type="dxa" w:w="80"/>
            </w:tcMar>
          </w:tcPr>
          <w:p>
            <w:pPr>
              <w:spacing w:after="0"/>
              <w:jc w:val="left"/>
            </w:pPr>
            <w:r>
              <w:rPr>
                <w:sz w:val="17"/>
                <w:szCs w:val="17"/>
              </w:rPr>
              <w:t xml:space="preserve">Rent as % of revenue</w:t>
            </w:r>
          </w:p>
        </w:tc>
        <w:tc>
          <w:tcPr>
            <w:tcW w:type="dxa" w:w="2340"/>
            <w:tcMar>
              <w:top w:type="dxa" w:w="50"/>
              <w:left w:type="dxa" w:w="80"/>
              <w:bottom w:type="dxa" w:w="50"/>
              <w:right w:type="dxa" w:w="80"/>
            </w:tcMar>
          </w:tcPr>
          <w:p>
            <w:pPr>
              <w:spacing w:after="0"/>
              <w:jc w:val="right"/>
            </w:pPr>
            <w:r>
              <w:rPr>
                <w:sz w:val="17"/>
                <w:szCs w:val="17"/>
              </w:rPr>
              <w:t xml:space="preserve">1.0%</w:t>
            </w:r>
          </w:p>
        </w:tc>
        <w:tc>
          <w:tcPr>
            <w:tcW w:type="dxa" w:w="2340"/>
            <w:tcMar>
              <w:top w:type="dxa" w:w="50"/>
              <w:left w:type="dxa" w:w="80"/>
              <w:bottom w:type="dxa" w:w="50"/>
              <w:right w:type="dxa" w:w="80"/>
            </w:tcMar>
          </w:tcPr>
          <w:p>
            <w:pPr>
              <w:spacing w:after="0"/>
              <w:jc w:val="right"/>
            </w:pPr>
            <w:r>
              <w:rPr>
                <w:sz w:val="17"/>
                <w:szCs w:val="17"/>
              </w:rPr>
              <w:t xml:space="preserve">Industry band 4–15% — US Census Bureau, County Business Patterns, 2024, indicative</w:t>
            </w:r>
          </w:p>
        </w:tc>
        <w:tc>
          <w:tcPr>
            <w:tcW w:type="dxa" w:w="2340"/>
            <w:tcMar>
              <w:top w:type="dxa" w:w="50"/>
              <w:left w:type="dxa" w:w="80"/>
              <w:bottom w:type="dxa" w:w="50"/>
              <w:right w:type="dxa" w:w="80"/>
            </w:tcMar>
          </w:tcPr>
          <w:p>
            <w:pPr>
              <w:spacing w:after="0"/>
              <w:jc w:val="right"/>
            </w:pPr>
            <w:r>
              <w:rPr>
                <w:sz w:val="17"/>
                <w:szCs w:val="17"/>
              </w:rPr>
              <w:t xml:space="preserve">Outside the band; expect to be asked about it</w:t>
            </w:r>
          </w:p>
        </w:tc>
      </w:tr>
      <w:tr>
        <w:tc>
          <w:tcPr>
            <w:tcW w:type="dxa" w:w="2340"/>
            <w:shd w:fill="EEF3F4" w:color="auto" w:val="clear"/>
            <w:tcMar>
              <w:top w:type="dxa" w:w="50"/>
              <w:left w:type="dxa" w:w="80"/>
              <w:bottom w:type="dxa" w:w="50"/>
              <w:right w:type="dxa" w:w="80"/>
            </w:tcMar>
          </w:tcPr>
          <w:p>
            <w:pPr>
              <w:spacing w:after="0"/>
              <w:jc w:val="left"/>
            </w:pPr>
            <w:r>
              <w:rPr>
                <w:sz w:val="17"/>
                <w:szCs w:val="17"/>
              </w:rPr>
              <w:t xml:space="preserve">Payroll as % of revenue</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20.8%</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Industry band 25–40% — American Trucking Associations, operational cost reporting, 2025, indicative</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Outside the band; expect to be asked about it</w:t>
            </w:r>
          </w:p>
        </w:tc>
      </w:tr>
    </w:tbl>
    <w:p>
      <w:pPr>
        <w:spacing w:after="140"/>
      </w:pPr>
      <w:r>
        <w:t xml:space="preserve"/>
      </w:r>
    </w:p>
    <w:p>
      <w:pPr>
        <w:spacing w:after="90"/>
      </w:pPr>
      <w:r>
        <w:t xml:space="preserve"/>
      </w:r>
    </w:p>
    <w:p>
      <w:pPr>
        <w:pStyle w:val="Heading1"/>
        <w:spacing w:after="140" w:before="320"/>
      </w:pPr>
      <w:r>
        <w:t xml:space="preserve">What To Bring To The Meeting</w:t>
      </w:r>
    </w:p>
    <w:p>
      <w:pPr>
        <w:spacing w:after="130"/>
      </w:pPr>
      <w:r>
        <w:rPr>
          <w:b/>
          <w:bCs/>
        </w:rPr>
        <w:t xml:space="preserve">Already provided</w:t>
      </w:r>
    </w:p>
    <w:p>
      <w:pPr>
        <w:pStyle w:val="ListParagraph"/>
        <w:numPr>
          <w:ilvl w:val="0"/>
          <w:numId w:val="2"/>
        </w:numPr>
        <w:spacing w:after="70"/>
      </w:pPr>
      <w:r>
        <w:t xml:space="preserve">tax return</w:t>
      </w:r>
    </w:p>
    <w:p>
      <w:pPr>
        <w:pStyle w:val="ListParagraph"/>
        <w:numPr>
          <w:ilvl w:val="0"/>
          <w:numId w:val="2"/>
        </w:numPr>
        <w:spacing w:after="70"/>
      </w:pPr>
      <w:r>
        <w:t xml:space="preserve">bank statement</w:t>
      </w:r>
    </w:p>
    <w:p>
      <w:pPr>
        <w:pStyle w:val="ListParagraph"/>
        <w:numPr>
          <w:ilvl w:val="0"/>
          <w:numId w:val="2"/>
        </w:numPr>
        <w:spacing w:after="70"/>
      </w:pPr>
      <w:r>
        <w:t xml:space="preserve">supplier quote</w:t>
      </w:r>
    </w:p>
    <w:p>
      <w:pPr>
        <w:pStyle w:val="ListParagraph"/>
        <w:numPr>
          <w:ilvl w:val="0"/>
          <w:numId w:val="2"/>
        </w:numPr>
        <w:spacing w:after="70"/>
      </w:pPr>
      <w:r>
        <w:t xml:space="preserve">licence copy</w:t>
      </w:r>
    </w:p>
    <w:p>
      <w:pPr>
        <w:spacing w:after="90"/>
      </w:pPr>
      <w:r>
        <w:t xml:space="preserve"/>
      </w:r>
    </w:p>
    <w:p>
      <w:pPr>
        <w:spacing w:after="130"/>
      </w:pPr>
      <w:r>
        <w:rPr>
          <w:b/>
          <w:bCs/>
        </w:rPr>
        <w:t xml:space="preserve">Still outstanding — take these to the meeting</w:t>
      </w:r>
    </w:p>
    <w:p>
      <w:pPr>
        <w:pStyle w:val="ListParagraph"/>
        <w:numPr>
          <w:ilvl w:val="0"/>
          <w:numId w:val="2"/>
        </w:numPr>
        <w:spacing w:after="70"/>
      </w:pPr>
      <w:r>
        <w:t xml:space="preserve">Lease or letter of intent</w:t>
      </w:r>
    </w:p>
    <w:p>
      <w:pPr>
        <w:pStyle w:val="ListParagraph"/>
        <w:numPr>
          <w:ilvl w:val="0"/>
          <w:numId w:val="2"/>
        </w:numPr>
        <w:spacing w:after="70"/>
      </w:pPr>
      <w:r>
        <w:t xml:space="preserve">Trailing 12-month financials</w:t>
      </w:r>
    </w:p>
    <w:p>
      <w:pPr>
        <w:pStyle w:val="ListParagraph"/>
        <w:numPr>
          <w:ilvl w:val="0"/>
          <w:numId w:val="2"/>
        </w:numPr>
        <w:spacing w:after="70"/>
      </w:pPr>
      <w:r>
        <w:t xml:space="preserve">Personal financial statement</w:t>
      </w:r>
    </w:p>
    <w:p>
      <w:pPr>
        <w:pStyle w:val="ListParagraph"/>
        <w:numPr>
          <w:ilvl w:val="0"/>
          <w:numId w:val="2"/>
        </w:numPr>
        <w:spacing w:after="70"/>
      </w:pPr>
      <w:r>
        <w:t xml:space="preserve">Résumé</w:t>
      </w:r>
    </w:p>
    <w:p>
      <w:pPr>
        <w:spacing w:after="90"/>
      </w:pPr>
      <w:r>
        <w:t xml:space="preserve"/>
      </w:r>
    </w:p>
    <w:p>
      <w:pPr>
        <w:spacing w:after="130"/>
      </w:pPr>
      <w:r>
        <w:rPr>
          <w:i/>
          <w:iCs/>
          <w:color w:val="5A5A5A"/>
        </w:rPr>
        <w:t xml:space="preserve">Consistency between the documents you provide and your plan is checked; authenticity is not.</w:t>
      </w:r>
    </w:p>
    <w:p>
      <w:pPr>
        <w:spacing w:after="90"/>
      </w:pPr>
      <w:r>
        <w:t xml:space="preserve"/>
      </w:r>
    </w:p>
    <w:sectPr>
      <w:pgSz w:w="12240" w:h="15840" w:orient="portrait"/>
      <w:pgMar w:top="1300" w:right="1300" w:bottom="1300" w:left="13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1"/>
        <w:szCs w:val="21"/>
      </w:rPr>
    </w:rPrDefault>
    <w:pPrDefault>
      <w:pPr>
        <w:spacing w:line="288"/>
      </w:pPr>
    </w:pPrDefault>
  </w:docDefaults>
  <w:style w:type="paragraph" w:styleId="Title">
    <w:name w:val="Title"/>
    <w:basedOn w:val="Normal"/>
    <w:next w:val="Normal"/>
    <w:qFormat/>
    <w:rPr>
      <w:rFonts w:ascii="Calibri" w:cs="Calibri" w:eastAsia="Calibri" w:hAnsi="Calibri"/>
      <w:b/>
      <w:bCs/>
      <w:color w:val="0F4C5C"/>
      <w:sz w:val="44"/>
      <w:szCs w:val="44"/>
    </w:rPr>
  </w:style>
  <w:style w:type="paragraph" w:styleId="Heading1">
    <w:name w:val="Heading 1"/>
    <w:basedOn w:val="Normal"/>
    <w:next w:val="Normal"/>
    <w:qFormat/>
    <w:rPr>
      <w:rFonts w:ascii="Calibri" w:cs="Calibri" w:eastAsia="Calibri" w:hAnsi="Calibri"/>
      <w:b/>
      <w:bCs/>
      <w:color w:val="0F4C5C"/>
      <w:sz w:val="30"/>
      <w:szCs w:val="30"/>
    </w:rPr>
  </w:style>
  <w:style w:type="paragraph" w:styleId="Heading2">
    <w:name w:val="Heading 2"/>
    <w:basedOn w:val="Normal"/>
    <w:next w:val="Normal"/>
    <w:qFormat/>
    <w:rPr>
      <w:rFonts w:ascii="Calibri" w:cs="Calibri" w:eastAsia="Calibri" w:hAnsi="Calibri"/>
      <w:b/>
      <w:bCs/>
      <w:color w:val="2E2E2E"/>
      <w:sz w:val="24"/>
      <w:szCs w:val="24"/>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Ridgeline Freight</dc:title>
  <dc:creator>Percision</dc:creator>
  <cp:lastModifiedBy>Un-named</cp:lastModifiedBy>
  <cp:revision>1</cp:revision>
  <dcterms:created xsi:type="dcterms:W3CDTF">2026-08-19T02:34:58.653Z</dcterms:created>
  <dcterms:modified xsi:type="dcterms:W3CDTF">2026-08-19T02:34:58.653Z</dcterms:modified>
</cp:coreProperties>
</file>

<file path=docProps/custom.xml><?xml version="1.0" encoding="utf-8"?>
<Properties xmlns="http://schemas.openxmlformats.org/officeDocument/2006/custom-properties" xmlns:vt="http://schemas.openxmlformats.org/officeDocument/2006/docPropsVTypes"/>
</file>